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ptos" w:cs="Aptos" w:eastAsia="Aptos" w:hAnsi="Aptos"/>
          <w:b/>
          <w:bCs/>
          <w:color w:val="B4823C"/>
          <w:sz w:val="20"/>
          <w:szCs w:val="20"/>
        </w:rPr>
        <w:t xml:space="preserve">VALMARK INTELLIGENCE CENTER</w:t>
      </w:r>
    </w:p>
    <w:p>
      <w:pPr>
        <w:spacing w:after="40"/>
      </w:pPr>
      <w:r>
        <w:rPr>
          <w:rFonts w:ascii="Aptos" w:cs="Aptos" w:eastAsia="Aptos" w:hAnsi="Aptos"/>
          <w:i/>
          <w:iCs/>
          <w:color w:val="5B5347"/>
          <w:sz w:val="18"/>
          <w:szCs w:val="18"/>
        </w:rPr>
        <w:t xml:space="preserve">Рубрика: Human Centric</w:t>
      </w:r>
    </w:p>
    <w:p>
      <w:pPr>
        <w:spacing w:after="260"/>
      </w:pPr>
      <w:r>
        <w:rPr>
          <w:rFonts w:ascii="Aptos" w:cs="Aptos" w:eastAsia="Aptos" w:hAnsi="Aptos"/>
          <w:b/>
          <w:bCs/>
          <w:color w:val="2B1D14"/>
          <w:sz w:val="40"/>
          <w:szCs w:val="40"/>
        </w:rPr>
        <w:t xml:space="preserve">Акустика помещений: шумопоглощающая мебель и панели</w:t>
      </w:r>
    </w:p>
    <w:p>
      <w:pPr>
        <w:spacing w:after="40"/>
      </w:pPr>
      <w:r>
        <w:rPr>
          <w:rFonts w:ascii="Aptos" w:cs="Aptos" w:eastAsia="Aptos" w:hAnsi="Aptos"/>
          <w:color w:val="1A1A1A"/>
          <w:sz w:val="19"/>
          <w:szCs w:val="19"/>
        </w:rPr>
        <w:t xml:space="preserve">География: Россия · Беларусь · СНГ · Европа · глобальный рынок</w:t>
      </w:r>
    </w:p>
    <w:p>
      <w:pPr>
        <w:spacing w:after="40"/>
      </w:pPr>
      <w:r>
        <w:rPr>
          <w:rFonts w:ascii="Aptos" w:cs="Aptos" w:eastAsia="Aptos" w:hAnsi="Aptos"/>
          <w:color w:val="1A1A1A"/>
          <w:sz w:val="19"/>
          <w:szCs w:val="19"/>
        </w:rPr>
        <w:t xml:space="preserve">Актуальность данных: 15 июля 2026 года</w:t>
      </w:r>
    </w:p>
    <w:p>
      <w:pPr>
        <w:spacing w:after="300"/>
      </w:pPr>
      <w:r>
        <w:rPr>
          <w:rFonts w:ascii="Aptos" w:cs="Aptos" w:eastAsia="Aptos" w:hAnsi="Aptos"/>
          <w:color w:val="1A1A1A"/>
          <w:sz w:val="19"/>
          <w:szCs w:val="19"/>
        </w:rPr>
        <w:t xml:space="preserve">Горизонт: 2026–2030, отдельные долгосрочные сигналы — до 2035</w:t>
      </w:r>
    </w:p>
    <w:p>
      <w:pPr>
        <w:pStyle w:val="Heading2"/>
        <w:spacing w:after="120" w:before="220"/>
      </w:pPr>
      <w:r>
        <w:rPr>
          <w:rFonts w:ascii="Aptos" w:cs="Aptos" w:eastAsia="Aptos" w:hAnsi="Aptos"/>
          <w:b/>
          <w:bCs/>
          <w:color w:val="2B1D14"/>
          <w:sz w:val="25"/>
          <w:szCs w:val="25"/>
        </w:rPr>
        <w:t xml:space="preserve">Методология</w:t>
      </w:r>
    </w:p>
    <w:p>
      <w:pPr>
        <w:spacing w:after="140" w:line="300"/>
        <w:jc w:val="left"/>
      </w:pPr>
      <w:r>
        <w:rPr>
          <w:rFonts w:ascii="Aptos" w:cs="Aptos" w:eastAsia="Aptos" w:hAnsi="Aptos"/>
          <w:b/>
          <w:bCs/>
          <w:color w:val="1A1A1A"/>
          <w:sz w:val="21"/>
          <w:szCs w:val="21"/>
        </w:rPr>
        <w:t xml:space="preserve">Тип исследования: </w:t>
      </w:r>
      <w:r>
        <w:rPr>
          <w:rFonts w:ascii="Aptos" w:cs="Aptos" w:eastAsia="Aptos" w:hAnsi="Aptos"/>
          <w:color w:val="1A1A1A"/>
          <w:sz w:val="21"/>
          <w:szCs w:val="21"/>
        </w:rPr>
        <w:t xml:space="preserve">синтетический аналитический доклад think tank. </w:t>
      </w:r>
      <w:r>
        <w:rPr>
          <w:rFonts w:ascii="Aptos" w:cs="Aptos" w:eastAsia="Aptos" w:hAnsi="Aptos"/>
          <w:b/>
          <w:bCs/>
          <w:color w:val="1A1A1A"/>
          <w:sz w:val="21"/>
          <w:szCs w:val="21"/>
        </w:rPr>
        <w:t xml:space="preserve">Задача: </w:t>
      </w:r>
      <w:r>
        <w:rPr>
          <w:rFonts w:ascii="Aptos" w:cs="Aptos" w:eastAsia="Aptos" w:hAnsi="Aptos"/>
          <w:color w:val="1A1A1A"/>
          <w:sz w:val="21"/>
          <w:szCs w:val="21"/>
        </w:rPr>
        <w:t xml:space="preserve">определить структурные изменения рынка акустического комфорта в интерьере, перераспределение маржи, центр контроля и давление на управленческие решения. </w:t>
      </w:r>
    </w:p>
    <w:p>
      <w:pPr>
        <w:spacing w:after="140" w:line="300"/>
        <w:jc w:val="left"/>
      </w:pPr>
      <w:r>
        <w:rPr>
          <w:rFonts w:ascii="Aptos" w:cs="Aptos" w:eastAsia="Aptos" w:hAnsi="Aptos"/>
          <w:b/>
          <w:bCs/>
          <w:color w:val="1A1A1A"/>
          <w:sz w:val="21"/>
          <w:szCs w:val="21"/>
        </w:rPr>
        <w:t xml:space="preserve">Аналитическая цепочка: </w:t>
      </w:r>
      <w:r>
        <w:rPr>
          <w:rFonts w:ascii="Aptos" w:cs="Aptos" w:eastAsia="Aptos" w:hAnsi="Aptos"/>
          <w:color w:val="1A1A1A"/>
          <w:sz w:val="21"/>
          <w:szCs w:val="21"/>
        </w:rPr>
        <w:t xml:space="preserve">изменение образа жизни и работы → воздействие шума на человека → требования к помещениям → технологии и продукты → структура рынка → цепочка принятия решений → перераспределение маржи → центр контроля → возможности для компаний СНГ → давление на решения.</w:t>
      </w:r>
    </w:p>
    <w:p>
      <w:pPr>
        <w:spacing w:after="140" w:line="300"/>
        <w:jc w:val="left"/>
      </w:pPr>
      <w:r>
        <w:rPr>
          <w:rFonts w:ascii="Aptos" w:cs="Aptos" w:eastAsia="Aptos" w:hAnsi="Aptos"/>
          <w:b/>
          <w:bCs/>
          <w:color w:val="1A1A1A"/>
          <w:sz w:val="21"/>
          <w:szCs w:val="21"/>
        </w:rPr>
        <w:t xml:space="preserve">Двухконтурная модель: </w:t>
      </w:r>
      <w:r>
        <w:rPr>
          <w:rFonts w:ascii="Aptos" w:cs="Aptos" w:eastAsia="Aptos" w:hAnsi="Aptos"/>
          <w:color w:val="1A1A1A"/>
          <w:sz w:val="21"/>
          <w:szCs w:val="21"/>
        </w:rPr>
        <w:t xml:space="preserve">глобальный/европейский контур задаёт технологическую и нормативную рамку; контур СНГ (Россия, Беларусь, шире — Казахстан и Центральная Азия) анализируется отдельно, с честным указанием на ограниченность открытых данных там, где они слабее.</w:t>
      </w:r>
    </w:p>
    <w:p>
      <w:pPr>
        <w:spacing w:after="140" w:line="300"/>
        <w:jc w:val="left"/>
      </w:pPr>
      <w:r>
        <w:rPr>
          <w:rFonts w:ascii="Aptos" w:cs="Aptos" w:eastAsia="Aptos" w:hAnsi="Aptos"/>
          <w:b/>
          <w:bCs/>
          <w:color w:val="1A1A1A"/>
          <w:sz w:val="21"/>
          <w:szCs w:val="21"/>
        </w:rPr>
        <w:t xml:space="preserve">Ограничения: </w:t>
      </w:r>
      <w:r>
        <w:rPr>
          <w:rFonts w:ascii="Aptos" w:cs="Aptos" w:eastAsia="Aptos" w:hAnsi="Aptos"/>
          <w:color w:val="1A1A1A"/>
          <w:sz w:val="21"/>
          <w:szCs w:val="21"/>
        </w:rPr>
        <w:t xml:space="preserve">рынок акустических решений использует несопоставимые методологии подсчёта (панели/материалы/готовые изделия считаются разными исследователями по-разному), поэтому там, где оценки расходятся более чем в полтора раза, доклад приводит диапазон, а не точку, и явно понижает статус цифры — см. раздел 0.</w:t>
      </w:r>
    </w:p>
    <w:p>
      <w:pPr>
        <w:spacing w:after="140" w:line="300"/>
        <w:jc w:val="left"/>
      </w:pPr>
      <w:r>
        <w:rPr>
          <w:rFonts w:ascii="Aptos" w:cs="Aptos" w:eastAsia="Aptos" w:hAnsi="Aptos"/>
          <w:b/>
          <w:bCs/>
          <w:color w:val="1A1A1A"/>
          <w:sz w:val="21"/>
          <w:szCs w:val="21"/>
        </w:rPr>
        <w:t xml:space="preserve">Базовый принцип Valmark: </w:t>
      </w:r>
      <w:r>
        <w:rPr>
          <w:rFonts w:ascii="Aptos" w:cs="Aptos" w:eastAsia="Aptos" w:hAnsi="Aptos"/>
          <w:color w:val="1A1A1A"/>
          <w:sz w:val="21"/>
          <w:szCs w:val="21"/>
        </w:rPr>
        <w:t xml:space="preserve">структурный сдвиг → деньги → контроль → решения.</w:t>
      </w:r>
    </w:p>
    <w:p>
      <w:pPr>
        <w:pStyle w:val="Heading1"/>
        <w:pageBreakBefore/>
        <w:spacing w:after="160" w:before="240"/>
      </w:pPr>
      <w:r>
        <w:rPr>
          <w:rFonts w:ascii="Aptos" w:cs="Aptos" w:eastAsia="Aptos" w:hAnsi="Aptos"/>
          <w:b/>
          <w:bCs/>
          <w:color w:val="2B1D14"/>
          <w:sz w:val="30"/>
          <w:szCs w:val="30"/>
        </w:rPr>
        <w:t xml:space="preserve">Оглавление</w:t>
      </w:r>
    </w:p>
    <w:p>
      <w:pPr>
        <w:tabs>
          <w:tab w:val="right" w:pos="9360" w:leader="dot"/>
        </w:tabs>
        <w:spacing w:after="80"/>
      </w:pPr>
      <w:r>
        <w:rPr>
          <w:rFonts w:ascii="Aptos" w:cs="Aptos" w:eastAsia="Aptos" w:hAnsi="Aptos"/>
          <w:color w:val="1A1A1A"/>
          <w:sz w:val="20"/>
          <w:szCs w:val="20"/>
        </w:rPr>
        <w:t xml:space="preserve">—  Методология</w:t>
      </w:r>
      <w:r>
        <w:rPr>
          <w:rFonts w:ascii="Aptos" w:cs="Aptos" w:eastAsia="Aptos" w:hAnsi="Aptos"/>
          <w:color w:val="5B5347"/>
          <w:sz w:val="20"/>
          <w:szCs w:val="20"/>
        </w:rPr>
        <w:t xml:space="preserve">	1</w:t>
      </w:r>
    </w:p>
    <w:p>
      <w:pPr>
        <w:tabs>
          <w:tab w:val="right" w:pos="9360" w:leader="dot"/>
        </w:tabs>
        <w:spacing w:after="80"/>
      </w:pPr>
      <w:r>
        <w:rPr>
          <w:rFonts w:ascii="Aptos" w:cs="Aptos" w:eastAsia="Aptos" w:hAnsi="Aptos"/>
          <w:color w:val="1A1A1A"/>
          <w:sz w:val="20"/>
          <w:szCs w:val="20"/>
        </w:rPr>
        <w:t xml:space="preserve">—  Резюме для собственника (Executive Summary)</w:t>
      </w:r>
      <w:r>
        <w:rPr>
          <w:rFonts w:ascii="Aptos" w:cs="Aptos" w:eastAsia="Aptos" w:hAnsi="Aptos"/>
          <w:color w:val="5B5347"/>
          <w:sz w:val="20"/>
          <w:szCs w:val="20"/>
        </w:rPr>
        <w:t xml:space="preserve">	3</w:t>
      </w:r>
    </w:p>
    <w:p>
      <w:pPr>
        <w:tabs>
          <w:tab w:val="right" w:pos="9360" w:leader="dot"/>
        </w:tabs>
        <w:spacing w:after="80"/>
      </w:pPr>
      <w:r>
        <w:rPr>
          <w:rFonts w:ascii="Aptos" w:cs="Aptos" w:eastAsia="Aptos" w:hAnsi="Aptos"/>
          <w:color w:val="1A1A1A"/>
          <w:sz w:val="20"/>
          <w:szCs w:val="20"/>
        </w:rPr>
        <w:t xml:space="preserve">—  Раздел 0. Верификация данных и ограничения</w:t>
      </w:r>
      <w:r>
        <w:rPr>
          <w:rFonts w:ascii="Aptos" w:cs="Aptos" w:eastAsia="Aptos" w:hAnsi="Aptos"/>
          <w:color w:val="5B5347"/>
          <w:sz w:val="20"/>
          <w:szCs w:val="20"/>
        </w:rPr>
        <w:t xml:space="preserve">	6</w:t>
      </w:r>
    </w:p>
    <w:p>
      <w:pPr>
        <w:tabs>
          <w:tab w:val="right" w:pos="9360" w:leader="dot"/>
        </w:tabs>
        <w:spacing w:after="80"/>
      </w:pPr>
      <w:r>
        <w:rPr>
          <w:rFonts w:ascii="Aptos" w:cs="Aptos" w:eastAsia="Aptos" w:hAnsi="Aptos"/>
          <w:color w:val="1A1A1A"/>
          <w:sz w:val="20"/>
          <w:szCs w:val="20"/>
        </w:rPr>
        <w:t xml:space="preserve">—  Раздел 1. Что изменилось: от опции к системному требованию</w:t>
      </w:r>
      <w:r>
        <w:rPr>
          <w:rFonts w:ascii="Aptos" w:cs="Aptos" w:eastAsia="Aptos" w:hAnsi="Aptos"/>
          <w:color w:val="5B5347"/>
          <w:sz w:val="20"/>
          <w:szCs w:val="20"/>
        </w:rPr>
        <w:t xml:space="preserve">	12</w:t>
      </w:r>
    </w:p>
    <w:p>
      <w:pPr>
        <w:tabs>
          <w:tab w:val="right" w:pos="9360" w:leader="dot"/>
        </w:tabs>
        <w:spacing w:after="80"/>
      </w:pPr>
      <w:r>
        <w:rPr>
          <w:rFonts w:ascii="Aptos" w:cs="Aptos" w:eastAsia="Aptos" w:hAnsi="Aptos"/>
          <w:color w:val="1A1A1A"/>
          <w:sz w:val="20"/>
          <w:szCs w:val="20"/>
        </w:rPr>
        <w:t xml:space="preserve">—  Раздел 2. Акустика как фактор здоровья и поведения человека</w:t>
      </w:r>
      <w:r>
        <w:rPr>
          <w:rFonts w:ascii="Aptos" w:cs="Aptos" w:eastAsia="Aptos" w:hAnsi="Aptos"/>
          <w:color w:val="5B5347"/>
          <w:sz w:val="20"/>
          <w:szCs w:val="20"/>
        </w:rPr>
        <w:t xml:space="preserve">	13</w:t>
      </w:r>
    </w:p>
    <w:p>
      <w:pPr>
        <w:tabs>
          <w:tab w:val="right" w:pos="9360" w:leader="dot"/>
        </w:tabs>
        <w:spacing w:after="80"/>
      </w:pPr>
      <w:r>
        <w:rPr>
          <w:rFonts w:ascii="Aptos" w:cs="Aptos" w:eastAsia="Aptos" w:hAnsi="Aptos"/>
          <w:color w:val="1A1A1A"/>
          <w:sz w:val="20"/>
          <w:szCs w:val="20"/>
        </w:rPr>
        <w:t xml:space="preserve">—  Раздел 3. Что именно измеряется</w:t>
      </w:r>
      <w:r>
        <w:rPr>
          <w:rFonts w:ascii="Aptos" w:cs="Aptos" w:eastAsia="Aptos" w:hAnsi="Aptos"/>
          <w:color w:val="5B5347"/>
          <w:sz w:val="20"/>
          <w:szCs w:val="20"/>
        </w:rPr>
        <w:t xml:space="preserve">	15</w:t>
      </w:r>
    </w:p>
    <w:p>
      <w:pPr>
        <w:tabs>
          <w:tab w:val="right" w:pos="9360" w:leader="dot"/>
        </w:tabs>
        <w:spacing w:after="80"/>
      </w:pPr>
      <w:r>
        <w:rPr>
          <w:rFonts w:ascii="Aptos" w:cs="Aptos" w:eastAsia="Aptos" w:hAnsi="Aptos"/>
          <w:color w:val="1A1A1A"/>
          <w:sz w:val="20"/>
          <w:szCs w:val="20"/>
        </w:rPr>
        <w:t xml:space="preserve">—  Раздел 4. Карта проблем по типам помещений</w:t>
      </w:r>
      <w:r>
        <w:rPr>
          <w:rFonts w:ascii="Aptos" w:cs="Aptos" w:eastAsia="Aptos" w:hAnsi="Aptos"/>
          <w:color w:val="5B5347"/>
          <w:sz w:val="20"/>
          <w:szCs w:val="20"/>
        </w:rPr>
        <w:t xml:space="preserve">	18</w:t>
      </w:r>
    </w:p>
    <w:p>
      <w:pPr>
        <w:tabs>
          <w:tab w:val="right" w:pos="9360" w:leader="dot"/>
        </w:tabs>
        <w:spacing w:after="80"/>
      </w:pPr>
      <w:r>
        <w:rPr>
          <w:rFonts w:ascii="Aptos" w:cs="Aptos" w:eastAsia="Aptos" w:hAnsi="Aptos"/>
          <w:color w:val="1A1A1A"/>
          <w:sz w:val="20"/>
          <w:szCs w:val="20"/>
        </w:rPr>
        <w:t xml:space="preserve">—  Раздел 5. Структурное давление на рынок</w:t>
      </w:r>
      <w:r>
        <w:rPr>
          <w:rFonts w:ascii="Aptos" w:cs="Aptos" w:eastAsia="Aptos" w:hAnsi="Aptos"/>
          <w:color w:val="5B5347"/>
          <w:sz w:val="20"/>
          <w:szCs w:val="20"/>
        </w:rPr>
        <w:t xml:space="preserve">	20</w:t>
      </w:r>
    </w:p>
    <w:p>
      <w:pPr>
        <w:tabs>
          <w:tab w:val="right" w:pos="9360" w:leader="dot"/>
        </w:tabs>
        <w:spacing w:after="80"/>
      </w:pPr>
      <w:r>
        <w:rPr>
          <w:rFonts w:ascii="Aptos" w:cs="Aptos" w:eastAsia="Aptos" w:hAnsi="Aptos"/>
          <w:color w:val="1A1A1A"/>
          <w:sz w:val="20"/>
          <w:szCs w:val="20"/>
        </w:rPr>
        <w:t xml:space="preserve">—  Раздел 6. Рынок и динамика</w:t>
      </w:r>
      <w:r>
        <w:rPr>
          <w:rFonts w:ascii="Aptos" w:cs="Aptos" w:eastAsia="Aptos" w:hAnsi="Aptos"/>
          <w:color w:val="5B5347"/>
          <w:sz w:val="20"/>
          <w:szCs w:val="20"/>
        </w:rPr>
        <w:t xml:space="preserve">	21</w:t>
      </w:r>
    </w:p>
    <w:p>
      <w:pPr>
        <w:tabs>
          <w:tab w:val="right" w:pos="9360" w:leader="dot"/>
        </w:tabs>
        <w:spacing w:after="80"/>
      </w:pPr>
      <w:r>
        <w:rPr>
          <w:rFonts w:ascii="Aptos" w:cs="Aptos" w:eastAsia="Aptos" w:hAnsi="Aptos"/>
          <w:color w:val="1A1A1A"/>
          <w:sz w:val="20"/>
          <w:szCs w:val="20"/>
        </w:rPr>
        <w:t xml:space="preserve">—  Раздел 7. Слом старой модели</w:t>
      </w:r>
      <w:r>
        <w:rPr>
          <w:rFonts w:ascii="Aptos" w:cs="Aptos" w:eastAsia="Aptos" w:hAnsi="Aptos"/>
          <w:color w:val="5B5347"/>
          <w:sz w:val="20"/>
          <w:szCs w:val="20"/>
        </w:rPr>
        <w:t xml:space="preserve">	23</w:t>
      </w:r>
    </w:p>
    <w:p>
      <w:pPr>
        <w:tabs>
          <w:tab w:val="right" w:pos="9360" w:leader="dot"/>
        </w:tabs>
        <w:spacing w:after="80"/>
      </w:pPr>
      <w:r>
        <w:rPr>
          <w:rFonts w:ascii="Aptos" w:cs="Aptos" w:eastAsia="Aptos" w:hAnsi="Aptos"/>
          <w:color w:val="1A1A1A"/>
          <w:sz w:val="20"/>
          <w:szCs w:val="20"/>
        </w:rPr>
        <w:t xml:space="preserve">—  Раздел 8. Технологическая карта</w:t>
      </w:r>
      <w:r>
        <w:rPr>
          <w:rFonts w:ascii="Aptos" w:cs="Aptos" w:eastAsia="Aptos" w:hAnsi="Aptos"/>
          <w:color w:val="5B5347"/>
          <w:sz w:val="20"/>
          <w:szCs w:val="20"/>
        </w:rPr>
        <w:t xml:space="preserve">	24</w:t>
      </w:r>
    </w:p>
    <w:p>
      <w:pPr>
        <w:tabs>
          <w:tab w:val="right" w:pos="9360" w:leader="dot"/>
        </w:tabs>
        <w:spacing w:after="80"/>
      </w:pPr>
      <w:r>
        <w:rPr>
          <w:rFonts w:ascii="Aptos" w:cs="Aptos" w:eastAsia="Aptos" w:hAnsi="Aptos"/>
          <w:color w:val="1A1A1A"/>
          <w:sz w:val="20"/>
          <w:szCs w:val="20"/>
        </w:rPr>
        <w:t xml:space="preserve">—  Раздел 9. Реальная эффективность против маркетинга</w:t>
      </w:r>
      <w:r>
        <w:rPr>
          <w:rFonts w:ascii="Aptos" w:cs="Aptos" w:eastAsia="Aptos" w:hAnsi="Aptos"/>
          <w:color w:val="5B5347"/>
          <w:sz w:val="20"/>
          <w:szCs w:val="20"/>
        </w:rPr>
        <w:t xml:space="preserve">	27</w:t>
      </w:r>
    </w:p>
    <w:p>
      <w:pPr>
        <w:tabs>
          <w:tab w:val="right" w:pos="9360" w:leader="dot"/>
        </w:tabs>
        <w:spacing w:after="80"/>
      </w:pPr>
      <w:r>
        <w:rPr>
          <w:rFonts w:ascii="Aptos" w:cs="Aptos" w:eastAsia="Aptos" w:hAnsi="Aptos"/>
          <w:color w:val="1A1A1A"/>
          <w:sz w:val="20"/>
          <w:szCs w:val="20"/>
        </w:rPr>
        <w:t xml:space="preserve">—  Раздел 10. Нормативная среда</w:t>
      </w:r>
      <w:r>
        <w:rPr>
          <w:rFonts w:ascii="Aptos" w:cs="Aptos" w:eastAsia="Aptos" w:hAnsi="Aptos"/>
          <w:color w:val="5B5347"/>
          <w:sz w:val="20"/>
          <w:szCs w:val="20"/>
        </w:rPr>
        <w:t xml:space="preserve">	28</w:t>
      </w:r>
    </w:p>
    <w:p>
      <w:pPr>
        <w:tabs>
          <w:tab w:val="right" w:pos="9360" w:leader="dot"/>
        </w:tabs>
        <w:spacing w:after="80"/>
      </w:pPr>
      <w:r>
        <w:rPr>
          <w:rFonts w:ascii="Aptos" w:cs="Aptos" w:eastAsia="Aptos" w:hAnsi="Aptos"/>
          <w:color w:val="1A1A1A"/>
          <w:sz w:val="20"/>
          <w:szCs w:val="20"/>
        </w:rPr>
        <w:t xml:space="preserve">—  Раздел 11. Цепочка создания стоимости</w:t>
      </w:r>
      <w:r>
        <w:rPr>
          <w:rFonts w:ascii="Aptos" w:cs="Aptos" w:eastAsia="Aptos" w:hAnsi="Aptos"/>
          <w:color w:val="5B5347"/>
          <w:sz w:val="20"/>
          <w:szCs w:val="20"/>
        </w:rPr>
        <w:t xml:space="preserve">	32</w:t>
      </w:r>
    </w:p>
    <w:p>
      <w:pPr>
        <w:tabs>
          <w:tab w:val="right" w:pos="9360" w:leader="dot"/>
        </w:tabs>
        <w:spacing w:after="80"/>
      </w:pPr>
      <w:r>
        <w:rPr>
          <w:rFonts w:ascii="Aptos" w:cs="Aptos" w:eastAsia="Aptos" w:hAnsi="Aptos"/>
          <w:color w:val="1A1A1A"/>
          <w:sz w:val="20"/>
          <w:szCs w:val="20"/>
        </w:rPr>
        <w:t xml:space="preserve">—  Раздел 12. Конкурентная архитектура</w:t>
      </w:r>
      <w:r>
        <w:rPr>
          <w:rFonts w:ascii="Aptos" w:cs="Aptos" w:eastAsia="Aptos" w:hAnsi="Aptos"/>
          <w:color w:val="5B5347"/>
          <w:sz w:val="20"/>
          <w:szCs w:val="20"/>
        </w:rPr>
        <w:t xml:space="preserve">	34</w:t>
      </w:r>
    </w:p>
    <w:p>
      <w:pPr>
        <w:tabs>
          <w:tab w:val="right" w:pos="9360" w:leader="dot"/>
        </w:tabs>
        <w:spacing w:after="80"/>
      </w:pPr>
      <w:r>
        <w:rPr>
          <w:rFonts w:ascii="Aptos" w:cs="Aptos" w:eastAsia="Aptos" w:hAnsi="Aptos"/>
          <w:color w:val="1A1A1A"/>
          <w:sz w:val="20"/>
          <w:szCs w:val="20"/>
        </w:rPr>
        <w:t xml:space="preserve">—  Раздел 13. Перераспределение маржи</w:t>
      </w:r>
      <w:r>
        <w:rPr>
          <w:rFonts w:ascii="Aptos" w:cs="Aptos" w:eastAsia="Aptos" w:hAnsi="Aptos"/>
          <w:color w:val="5B5347"/>
          <w:sz w:val="20"/>
          <w:szCs w:val="20"/>
        </w:rPr>
        <w:t xml:space="preserve">	35</w:t>
      </w:r>
    </w:p>
    <w:p>
      <w:pPr>
        <w:tabs>
          <w:tab w:val="right" w:pos="9360" w:leader="dot"/>
        </w:tabs>
        <w:spacing w:after="80"/>
      </w:pPr>
      <w:r>
        <w:rPr>
          <w:rFonts w:ascii="Aptos" w:cs="Aptos" w:eastAsia="Aptos" w:hAnsi="Aptos"/>
          <w:color w:val="1A1A1A"/>
          <w:sz w:val="20"/>
          <w:szCs w:val="20"/>
        </w:rPr>
        <w:t xml:space="preserve">—  Раздел 14. Главный конфликт индустрии</w:t>
      </w:r>
      <w:r>
        <w:rPr>
          <w:rFonts w:ascii="Aptos" w:cs="Aptos" w:eastAsia="Aptos" w:hAnsi="Aptos"/>
          <w:color w:val="5B5347"/>
          <w:sz w:val="20"/>
          <w:szCs w:val="20"/>
        </w:rPr>
        <w:t xml:space="preserve">	36</w:t>
      </w:r>
    </w:p>
    <w:p>
      <w:pPr>
        <w:tabs>
          <w:tab w:val="right" w:pos="9360" w:leader="dot"/>
        </w:tabs>
        <w:spacing w:after="80"/>
      </w:pPr>
      <w:r>
        <w:rPr>
          <w:rFonts w:ascii="Aptos" w:cs="Aptos" w:eastAsia="Aptos" w:hAnsi="Aptos"/>
          <w:color w:val="1A1A1A"/>
          <w:sz w:val="20"/>
          <w:szCs w:val="20"/>
        </w:rPr>
        <w:t xml:space="preserve">—  Раздел 15. Центр контроля</w:t>
      </w:r>
      <w:r>
        <w:rPr>
          <w:rFonts w:ascii="Aptos" w:cs="Aptos" w:eastAsia="Aptos" w:hAnsi="Aptos"/>
          <w:color w:val="5B5347"/>
          <w:sz w:val="20"/>
          <w:szCs w:val="20"/>
        </w:rPr>
        <w:t xml:space="preserve">	37</w:t>
      </w:r>
    </w:p>
    <w:p>
      <w:pPr>
        <w:tabs>
          <w:tab w:val="right" w:pos="9360" w:leader="dot"/>
        </w:tabs>
        <w:spacing w:after="80"/>
      </w:pPr>
      <w:r>
        <w:rPr>
          <w:rFonts w:ascii="Aptos" w:cs="Aptos" w:eastAsia="Aptos" w:hAnsi="Aptos"/>
          <w:color w:val="1A1A1A"/>
          <w:sz w:val="20"/>
          <w:szCs w:val="20"/>
        </w:rPr>
        <w:t xml:space="preserve">—  Раздел 16. Экономика решения</w:t>
      </w:r>
      <w:r>
        <w:rPr>
          <w:rFonts w:ascii="Aptos" w:cs="Aptos" w:eastAsia="Aptos" w:hAnsi="Aptos"/>
          <w:color w:val="5B5347"/>
          <w:sz w:val="20"/>
          <w:szCs w:val="20"/>
        </w:rPr>
        <w:t xml:space="preserve">	39</w:t>
      </w:r>
    </w:p>
    <w:p>
      <w:pPr>
        <w:tabs>
          <w:tab w:val="right" w:pos="9360" w:leader="dot"/>
        </w:tabs>
        <w:spacing w:after="80"/>
      </w:pPr>
      <w:r>
        <w:rPr>
          <w:rFonts w:ascii="Aptos" w:cs="Aptos" w:eastAsia="Aptos" w:hAnsi="Aptos"/>
          <w:color w:val="1A1A1A"/>
          <w:sz w:val="20"/>
          <w:szCs w:val="20"/>
        </w:rPr>
        <w:t xml:space="preserve">—  Раздел 17. Карта скрытых потерь (Hidden Loss Map)</w:t>
      </w:r>
      <w:r>
        <w:rPr>
          <w:rFonts w:ascii="Aptos" w:cs="Aptos" w:eastAsia="Aptos" w:hAnsi="Aptos"/>
          <w:color w:val="5B5347"/>
          <w:sz w:val="20"/>
          <w:szCs w:val="20"/>
        </w:rPr>
        <w:t xml:space="preserve">	42</w:t>
      </w:r>
    </w:p>
    <w:p>
      <w:pPr>
        <w:tabs>
          <w:tab w:val="right" w:pos="9360" w:leader="dot"/>
        </w:tabs>
        <w:spacing w:after="80"/>
      </w:pPr>
      <w:r>
        <w:rPr>
          <w:rFonts w:ascii="Aptos" w:cs="Aptos" w:eastAsia="Aptos" w:hAnsi="Aptos"/>
          <w:color w:val="1A1A1A"/>
          <w:sz w:val="20"/>
          <w:szCs w:val="20"/>
        </w:rPr>
        <w:t xml:space="preserve">—  Раздел 18. Возможности для мебельной промышленности СНГ</w:t>
      </w:r>
      <w:r>
        <w:rPr>
          <w:rFonts w:ascii="Aptos" w:cs="Aptos" w:eastAsia="Aptos" w:hAnsi="Aptos"/>
          <w:color w:val="5B5347"/>
          <w:sz w:val="20"/>
          <w:szCs w:val="20"/>
        </w:rPr>
        <w:t xml:space="preserve">	44</w:t>
      </w:r>
    </w:p>
    <w:p>
      <w:pPr>
        <w:tabs>
          <w:tab w:val="right" w:pos="9360" w:leader="dot"/>
        </w:tabs>
        <w:spacing w:after="80"/>
      </w:pPr>
      <w:r>
        <w:rPr>
          <w:rFonts w:ascii="Aptos" w:cs="Aptos" w:eastAsia="Aptos" w:hAnsi="Aptos"/>
          <w:color w:val="1A1A1A"/>
          <w:sz w:val="20"/>
          <w:szCs w:val="20"/>
        </w:rPr>
        <w:t xml:space="preserve">—  Раздел 19. Сценарии до 2030 года</w:t>
      </w:r>
      <w:r>
        <w:rPr>
          <w:rFonts w:ascii="Aptos" w:cs="Aptos" w:eastAsia="Aptos" w:hAnsi="Aptos"/>
          <w:color w:val="5B5347"/>
          <w:sz w:val="20"/>
          <w:szCs w:val="20"/>
        </w:rPr>
        <w:t xml:space="preserve">	49</w:t>
      </w:r>
    </w:p>
    <w:p>
      <w:pPr>
        <w:tabs>
          <w:tab w:val="right" w:pos="9360" w:leader="dot"/>
        </w:tabs>
        <w:spacing w:after="80"/>
      </w:pPr>
      <w:r>
        <w:rPr>
          <w:rFonts w:ascii="Aptos" w:cs="Aptos" w:eastAsia="Aptos" w:hAnsi="Aptos"/>
          <w:color w:val="1A1A1A"/>
          <w:sz w:val="20"/>
          <w:szCs w:val="20"/>
        </w:rPr>
        <w:t xml:space="preserve">—  Раздел 20. Карта рисков и возможностей</w:t>
      </w:r>
      <w:r>
        <w:rPr>
          <w:rFonts w:ascii="Aptos" w:cs="Aptos" w:eastAsia="Aptos" w:hAnsi="Aptos"/>
          <w:color w:val="5B5347"/>
          <w:sz w:val="20"/>
          <w:szCs w:val="20"/>
        </w:rPr>
        <w:t xml:space="preserve">	51</w:t>
      </w:r>
    </w:p>
    <w:p>
      <w:pPr>
        <w:tabs>
          <w:tab w:val="right" w:pos="9360" w:leader="dot"/>
        </w:tabs>
        <w:spacing w:after="80"/>
      </w:pPr>
      <w:r>
        <w:rPr>
          <w:rFonts w:ascii="Aptos" w:cs="Aptos" w:eastAsia="Aptos" w:hAnsi="Aptos"/>
          <w:color w:val="1A1A1A"/>
          <w:sz w:val="20"/>
          <w:szCs w:val="20"/>
        </w:rPr>
        <w:t xml:space="preserve">—  Раздел 21. Давление на решения (Decision Pressure)</w:t>
      </w:r>
      <w:r>
        <w:rPr>
          <w:rFonts w:ascii="Aptos" w:cs="Aptos" w:eastAsia="Aptos" w:hAnsi="Aptos"/>
          <w:color w:val="5B5347"/>
          <w:sz w:val="20"/>
          <w:szCs w:val="20"/>
        </w:rPr>
        <w:t xml:space="preserve">	52</w:t>
      </w:r>
    </w:p>
    <w:p>
      <w:pPr>
        <w:tabs>
          <w:tab w:val="right" w:pos="9360" w:leader="dot"/>
        </w:tabs>
        <w:spacing w:after="80"/>
      </w:pPr>
      <w:r>
        <w:rPr>
          <w:rFonts w:ascii="Aptos" w:cs="Aptos" w:eastAsia="Aptos" w:hAnsi="Aptos"/>
          <w:color w:val="1A1A1A"/>
          <w:sz w:val="20"/>
          <w:szCs w:val="20"/>
        </w:rPr>
        <w:t xml:space="preserve">—  Раздел 22. Что делать в ближайшие 12 месяцев</w:t>
      </w:r>
      <w:r>
        <w:rPr>
          <w:rFonts w:ascii="Aptos" w:cs="Aptos" w:eastAsia="Aptos" w:hAnsi="Aptos"/>
          <w:color w:val="5B5347"/>
          <w:sz w:val="20"/>
          <w:szCs w:val="20"/>
        </w:rPr>
        <w:t xml:space="preserve">	53</w:t>
      </w:r>
    </w:p>
    <w:p>
      <w:pPr>
        <w:tabs>
          <w:tab w:val="right" w:pos="9360" w:leader="dot"/>
        </w:tabs>
        <w:spacing w:after="80"/>
      </w:pPr>
      <w:r>
        <w:rPr>
          <w:rFonts w:ascii="Aptos" w:cs="Aptos" w:eastAsia="Aptos" w:hAnsi="Aptos"/>
          <w:color w:val="1A1A1A"/>
          <w:sz w:val="20"/>
          <w:szCs w:val="20"/>
        </w:rPr>
        <w:t xml:space="preserve">—  Финальные выводы</w:t>
      </w:r>
      <w:r>
        <w:rPr>
          <w:rFonts w:ascii="Aptos" w:cs="Aptos" w:eastAsia="Aptos" w:hAnsi="Aptos"/>
          <w:color w:val="5B5347"/>
          <w:sz w:val="20"/>
          <w:szCs w:val="20"/>
        </w:rPr>
        <w:t xml:space="preserve">	54</w:t>
      </w:r>
    </w:p>
    <w:p>
      <w:pPr>
        <w:tabs>
          <w:tab w:val="right" w:pos="9360" w:leader="dot"/>
        </w:tabs>
        <w:spacing w:after="80"/>
      </w:pPr>
      <w:r>
        <w:rPr>
          <w:rFonts w:ascii="Aptos" w:cs="Aptos" w:eastAsia="Aptos" w:hAnsi="Aptos"/>
          <w:color w:val="1A1A1A"/>
          <w:sz w:val="20"/>
          <w:szCs w:val="20"/>
        </w:rPr>
        <w:t xml:space="preserve">—  Приложение 1. Таблица ключевых цифр</w:t>
      </w:r>
      <w:r>
        <w:rPr>
          <w:rFonts w:ascii="Aptos" w:cs="Aptos" w:eastAsia="Aptos" w:hAnsi="Aptos"/>
          <w:color w:val="5B5347"/>
          <w:sz w:val="20"/>
          <w:szCs w:val="20"/>
        </w:rPr>
        <w:t xml:space="preserve">	56</w:t>
      </w:r>
    </w:p>
    <w:p>
      <w:pPr>
        <w:tabs>
          <w:tab w:val="right" w:pos="9360" w:leader="dot"/>
        </w:tabs>
        <w:spacing w:after="80"/>
      </w:pPr>
      <w:r>
        <w:rPr>
          <w:rFonts w:ascii="Aptos" w:cs="Aptos" w:eastAsia="Aptos" w:hAnsi="Aptos"/>
          <w:color w:val="1A1A1A"/>
          <w:sz w:val="20"/>
          <w:szCs w:val="20"/>
        </w:rPr>
        <w:t xml:space="preserve">—  Приложение 2. Реестр источников</w:t>
      </w:r>
      <w:r>
        <w:rPr>
          <w:rFonts w:ascii="Aptos" w:cs="Aptos" w:eastAsia="Aptos" w:hAnsi="Aptos"/>
          <w:color w:val="5B5347"/>
          <w:sz w:val="20"/>
          <w:szCs w:val="20"/>
        </w:rPr>
        <w:t xml:space="preserve">	61</w:t>
      </w:r>
    </w:p>
    <w:p>
      <w:pPr>
        <w:tabs>
          <w:tab w:val="right" w:pos="9360" w:leader="dot"/>
        </w:tabs>
        <w:spacing w:after="80"/>
      </w:pPr>
      <w:r>
        <w:rPr>
          <w:rFonts w:ascii="Aptos" w:cs="Aptos" w:eastAsia="Aptos" w:hAnsi="Aptos"/>
          <w:color w:val="1A1A1A"/>
          <w:sz w:val="20"/>
          <w:szCs w:val="20"/>
        </w:rPr>
        <w:t xml:space="preserve">—  Приложение 3. Ограничения исследования</w:t>
      </w:r>
      <w:r>
        <w:rPr>
          <w:rFonts w:ascii="Aptos" w:cs="Aptos" w:eastAsia="Aptos" w:hAnsi="Aptos"/>
          <w:color w:val="5B5347"/>
          <w:sz w:val="20"/>
          <w:szCs w:val="20"/>
        </w:rPr>
        <w:t xml:space="preserve">	64</w:t>
      </w:r>
    </w:p>
    <w:p>
      <w:pPr>
        <w:tabs>
          <w:tab w:val="right" w:pos="9360" w:leader="dot"/>
        </w:tabs>
        <w:spacing w:after="80"/>
      </w:pPr>
      <w:r>
        <w:rPr>
          <w:rFonts w:ascii="Aptos" w:cs="Aptos" w:eastAsia="Aptos" w:hAnsi="Aptos"/>
          <w:color w:val="1A1A1A"/>
          <w:sz w:val="20"/>
          <w:szCs w:val="20"/>
        </w:rPr>
        <w:t xml:space="preserve">—  Глоссарий</w:t>
      </w:r>
      <w:r>
        <w:rPr>
          <w:rFonts w:ascii="Aptos" w:cs="Aptos" w:eastAsia="Aptos" w:hAnsi="Aptos"/>
          <w:color w:val="5B5347"/>
          <w:sz w:val="20"/>
          <w:szCs w:val="20"/>
        </w:rPr>
        <w:t xml:space="preserve">	65</w:t>
      </w:r>
    </w:p>
    <w:p>
      <w:pPr>
        <w:tabs>
          <w:tab w:val="right" w:pos="9360" w:leader="dot"/>
        </w:tabs>
        <w:spacing w:after="80"/>
      </w:pPr>
      <w:r>
        <w:rPr>
          <w:rFonts w:ascii="Aptos" w:cs="Aptos" w:eastAsia="Aptos" w:hAnsi="Aptos"/>
          <w:color w:val="1A1A1A"/>
          <w:sz w:val="20"/>
          <w:szCs w:val="20"/>
        </w:rPr>
        <w:t xml:space="preserve">—  Источники</w:t>
      </w:r>
      <w:r>
        <w:rPr>
          <w:rFonts w:ascii="Aptos" w:cs="Aptos" w:eastAsia="Aptos" w:hAnsi="Aptos"/>
          <w:color w:val="5B5347"/>
          <w:sz w:val="20"/>
          <w:szCs w:val="20"/>
        </w:rPr>
        <w:t xml:space="preserve">	66</w:t>
      </w:r>
    </w:p>
    <w:p>
      <w:pPr>
        <w:spacing w:after="140" w:line="300"/>
        <w:jc w:val="left"/>
      </w:pPr>
      <w:r>
        <w:rPr>
          <w:rFonts w:ascii="Aptos" w:cs="Aptos" w:eastAsia="Aptos" w:hAnsi="Aptos"/>
          <w:color w:val="1A1A1A"/>
          <w:sz w:val="21"/>
          <w:szCs w:val="21"/>
        </w:rPr>
        <w:t xml:space="preserve">Нумерация страниц соответствует сборке от 15.07.2026; при последующих правках текста номера страниц могут сместиться на 1–2 и должны быть сверены перед финальной отправкой.</w:t>
      </w:r>
    </w:p>
    <w:p>
      <w:pPr>
        <w:pStyle w:val="Heading1"/>
        <w:pageBreakBefore/>
        <w:spacing w:after="160" w:before="240"/>
      </w:pPr>
      <w:r>
        <w:rPr>
          <w:rFonts w:ascii="Aptos" w:cs="Aptos" w:eastAsia="Aptos" w:hAnsi="Aptos"/>
          <w:b/>
          <w:bCs/>
          <w:color w:val="2B1D14"/>
          <w:sz w:val="30"/>
          <w:szCs w:val="30"/>
        </w:rPr>
        <w:t xml:space="preserve">Резюме для собственника (Executive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2B1D14" w:color="auto" w:val="clear"/>
            <w:tcMar>
              <w:top w:type="dxa" w:w="200"/>
              <w:left w:type="dxa" w:w="260"/>
              <w:bottom w:type="dxa" w:w="200"/>
              <w:right w:type="dxa" w:w="260"/>
            </w:tcMar>
          </w:tcPr>
          <w:p>
            <w:pPr>
              <w:spacing w:after="0" w:line="300"/>
            </w:pPr>
            <w:r>
              <w:rPr>
                <w:rFonts w:ascii="Aptos" w:cs="Aptos" w:eastAsia="Aptos" w:hAnsi="Aptos"/>
                <w:b/>
                <w:bCs/>
                <w:color w:val="FFFFFF"/>
                <w:sz w:val="22"/>
                <w:szCs w:val="22"/>
              </w:rPr>
              <w:t xml:space="preserve">Акустический комфорт перестаёт быть эстетической опцией и становится техническим требованием допуска в проект — но контроль над этим требованием формируется не у производителя панелей, а у того, кто держит расчёт, спецификацию и сертификат.</w:t>
            </w:r>
          </w:p>
        </w:tc>
      </w:tr>
    </w:tbl>
    <w:p>
      <w:pPr>
        <w:spacing w:after="80"/>
      </w:pPr>
    </w:p>
    <w:p>
      <w:pPr>
        <w:spacing w:after="140" w:line="300"/>
        <w:jc w:val="left"/>
      </w:pPr>
      <w:r>
        <w:rPr>
          <w:rFonts w:ascii="Aptos" w:cs="Aptos" w:eastAsia="Aptos" w:hAnsi="Aptos"/>
          <w:color w:val="1A1A1A"/>
          <w:sz w:val="21"/>
          <w:szCs w:val="21"/>
        </w:rPr>
        <w:t xml:space="preserve">Главный структурный сдвиг: спрос на акустику помещений смещается от штучного декоративного продукта к обязательному расчётному параметру проекта. Драйвер — не мода, а три параллельных силы: гибридный формат работы, который держит открытую планировку офиса живой, но требует внутри неё зон приватности; ужесточение требований WELL, LEED и BREEAM к акустике как к условию сертификации в проектах, которые сами проходят эту сертификацию</w:t>
      </w:r>
      <w:r>
        <w:rPr>
          <w:rStyle w:val="FootnoteReference"/>
        </w:rPr>
        <w:footnoteReference w:id="1"/>
      </w:r>
      <w:r>
        <w:rPr>
          <w:rFonts w:ascii="Aptos" w:cs="Aptos" w:eastAsia="Aptos" w:hAnsi="Aptos"/>
          <w:color w:val="1A1A1A"/>
          <w:sz w:val="21"/>
          <w:szCs w:val="21"/>
        </w:rPr>
        <w:t xml:space="preserve">; и рост числа переработанных материалов (в первую очередь PET-войлок), которые снимают конфликт между экологичностью и внешним видом, характерный для минеральной ваты и фиброцемента.</w:t>
      </w:r>
    </w:p>
    <w:p>
      <w:pPr>
        <w:spacing w:after="140" w:line="300"/>
        <w:jc w:val="left"/>
      </w:pPr>
      <w:r>
        <w:rPr>
          <w:rFonts w:ascii="Aptos" w:cs="Aptos" w:eastAsia="Aptos" w:hAnsi="Aptos"/>
          <w:color w:val="1A1A1A"/>
          <w:sz w:val="21"/>
          <w:szCs w:val="21"/>
        </w:rPr>
        <w:t xml:space="preserve">Масштаб проблемы подтверждён научно, а не только маркетингом отрасли: переезд из кабинетов в open space статистически удваивает самооценку потерь продуктивности из-за шума</w:t>
      </w:r>
      <w:r>
        <w:rPr>
          <w:rStyle w:val="FootnoteReference"/>
        </w:rPr>
        <w:footnoteReference w:id="2"/>
      </w:r>
      <w:r>
        <w:rPr>
          <w:rFonts w:ascii="Aptos" w:cs="Aptos" w:eastAsia="Aptos" w:hAnsi="Aptos"/>
          <w:color w:val="1A1A1A"/>
          <w:sz w:val="21"/>
          <w:szCs w:val="21"/>
        </w:rPr>
        <w:t xml:space="preserve">, а обзор литературы связывает параметры звуковой среды помещения с результатами выполнения когнитивных задач</w:t>
      </w:r>
      <w:r>
        <w:rPr>
          <w:rStyle w:val="FootnoteReference"/>
        </w:rPr>
        <w:footnoteReference w:id="3"/>
      </w:r>
      <w:r>
        <w:rPr>
          <w:rFonts w:ascii="Aptos" w:cs="Aptos" w:eastAsia="Aptos" w:hAnsi="Aptos"/>
          <w:color w:val="1A1A1A"/>
          <w:sz w:val="21"/>
          <w:szCs w:val="21"/>
        </w:rPr>
        <w:t xml:space="preserve">. Это не рекламная формулировка, а измеримый и задокументированный в науке эффект, даже если его точный финансовый размер ещё не стандартизирован.</w:t>
      </w:r>
    </w:p>
    <w:p>
      <w:pPr>
        <w:pStyle w:val="Heading3"/>
        <w:spacing w:after="90" w:before="180"/>
      </w:pPr>
      <w:r>
        <w:rPr>
          <w:rFonts w:ascii="Aptos" w:cs="Aptos" w:eastAsia="Aptos" w:hAnsi="Aptos"/>
          <w:b/>
          <w:bCs/>
          <w:color w:val="B4823C"/>
          <w:sz w:val="22"/>
          <w:szCs w:val="22"/>
        </w:rPr>
        <w:t xml:space="preserve">Кто выигрывает и кто теряет</w:t>
      </w:r>
    </w:p>
    <w:p>
      <w:pPr>
        <w:pStyle w:val="ListParagraph"/>
        <w:numPr>
          <w:ilvl w:val="0"/>
          <w:numId w:val="2"/>
        </w:numPr>
        <w:spacing w:after="100" w:line="290"/>
      </w:pPr>
      <w:r>
        <w:rPr>
          <w:rFonts w:ascii="Aptos" w:cs="Aptos" w:eastAsia="Aptos" w:hAnsi="Aptos"/>
          <w:color w:val="1A1A1A"/>
          <w:sz w:val="21"/>
          <w:szCs w:val="21"/>
        </w:rPr>
        <w:t xml:space="preserve">Выигрывают: игроки, которые держат расчёт и спецификацию (акустические консультанты, BIM-интегрированные системы), производители материалов с подтверждённым EPD/сертификатом, мебельные фабрики, встроившие акустику в модульные системы (перегородки, кабины, рабочие станции).</w:t>
      </w:r>
    </w:p>
    <w:p>
      <w:pPr>
        <w:pStyle w:val="ListParagraph"/>
        <w:numPr>
          <w:ilvl w:val="0"/>
          <w:numId w:val="2"/>
        </w:numPr>
        <w:spacing w:after="100" w:line="290"/>
      </w:pPr>
      <w:r>
        <w:rPr>
          <w:rFonts w:ascii="Aptos" w:cs="Aptos" w:eastAsia="Aptos" w:hAnsi="Aptos"/>
          <w:color w:val="1A1A1A"/>
          <w:sz w:val="21"/>
          <w:szCs w:val="21"/>
        </w:rPr>
        <w:t xml:space="preserve">Теряют: производители декоративных панелей без протоколов испытаний — их продукция при ужесточении требований WELL/LEED/BREEAM физически не попадает в спецификацию крупных объектов; фабрики, которые продают «акустический вид», а не измеримый эффект.</w:t>
      </w:r>
    </w:p>
    <w:p>
      <w:pPr>
        <w:pStyle w:val="Heading3"/>
        <w:spacing w:after="90" w:before="180"/>
      </w:pPr>
      <w:r>
        <w:rPr>
          <w:rFonts w:ascii="Aptos" w:cs="Aptos" w:eastAsia="Aptos" w:hAnsi="Aptos"/>
          <w:b/>
          <w:bCs/>
          <w:color w:val="B4823C"/>
          <w:sz w:val="22"/>
          <w:szCs w:val="22"/>
        </w:rPr>
        <w:t xml:space="preserve">Где появляется прибыль</w:t>
      </w:r>
    </w:p>
    <w:p>
      <w:pPr>
        <w:pStyle w:val="ListParagraph"/>
        <w:numPr>
          <w:ilvl w:val="0"/>
          <w:numId w:val="2"/>
        </w:numPr>
        <w:spacing w:after="100" w:line="290"/>
      </w:pPr>
      <w:r>
        <w:rPr>
          <w:rFonts w:ascii="Aptos" w:cs="Aptos" w:eastAsia="Aptos" w:hAnsi="Aptos"/>
          <w:color w:val="1A1A1A"/>
          <w:sz w:val="21"/>
          <w:szCs w:val="21"/>
        </w:rPr>
        <w:t xml:space="preserve">Не в самой панели — в комплексном решении: расчёт + сертифицированный продукт + монтаж + постпроектная верификация. Панель как отдельное изделие движется к коммодитизации.</w:t>
      </w:r>
    </w:p>
    <w:p>
      <w:pPr>
        <w:pStyle w:val="ListParagraph"/>
        <w:numPr>
          <w:ilvl w:val="0"/>
          <w:numId w:val="2"/>
        </w:numPr>
        <w:spacing w:after="100" w:line="290"/>
      </w:pPr>
      <w:r>
        <w:rPr>
          <w:rFonts w:ascii="Aptos" w:cs="Aptos" w:eastAsia="Aptos" w:hAnsi="Aptos"/>
          <w:color w:val="1A1A1A"/>
          <w:sz w:val="21"/>
          <w:szCs w:val="21"/>
        </w:rPr>
        <w:t xml:space="preserve">Регулярный доход: обслуживание и повторная сертификация при смене планировки, апгрейд систем при переходе на новый уровень WELL/LEED — устойчивый слой маржи, аналогичный тому, что Valmark фиксировал в других вертикалях интерьерной индустрии.</w:t>
      </w:r>
    </w:p>
    <w:p>
      <w:pPr>
        <w:pStyle w:val="Heading3"/>
        <w:spacing w:after="90" w:before="180"/>
      </w:pPr>
      <w:r>
        <w:rPr>
          <w:rFonts w:ascii="Aptos" w:cs="Aptos" w:eastAsia="Aptos" w:hAnsi="Aptos"/>
          <w:b/>
          <w:bCs/>
          <w:color w:val="B4823C"/>
          <w:sz w:val="22"/>
          <w:szCs w:val="22"/>
        </w:rPr>
        <w:t xml:space="preserve">Центр контроля</w:t>
      </w:r>
    </w:p>
    <w:p>
      <w:pPr>
        <w:spacing w:after="140" w:line="300"/>
        <w:jc w:val="left"/>
      </w:pPr>
      <w:r>
        <w:rPr>
          <w:rFonts w:ascii="Aptos" w:cs="Aptos" w:eastAsia="Aptos" w:hAnsi="Aptos"/>
          <w:color w:val="1A1A1A"/>
          <w:sz w:val="21"/>
          <w:szCs w:val="21"/>
        </w:rPr>
        <w:t xml:space="preserve">Операционной системой рынка становится не производитель и не архитектор по отдельности, а связка «акустический расчёт + держатель спецификации» — часто это акустический консультант или архитектурное бюро, интегрированное с BIM-платформой проектирования. Производитель панелей контролирует рынок только тогда, когда одновременно владеет протоколом испытаний, к которому привязана спецификация. Подробно — раздел 15.</w:t>
      </w:r>
    </w:p>
    <w:p>
      <w:pPr>
        <w:pStyle w:val="Heading3"/>
        <w:spacing w:after="90" w:before="180"/>
      </w:pPr>
      <w:r>
        <w:rPr>
          <w:rFonts w:ascii="Aptos" w:cs="Aptos" w:eastAsia="Aptos" w:hAnsi="Aptos"/>
          <w:b/>
          <w:bCs/>
          <w:color w:val="B4823C"/>
          <w:sz w:val="22"/>
          <w:szCs w:val="22"/>
        </w:rPr>
        <w:t xml:space="preserve">Возможности для компаний СНГ</w:t>
      </w:r>
    </w:p>
    <w:p>
      <w:pPr>
        <w:pStyle w:val="ListParagraph"/>
        <w:numPr>
          <w:ilvl w:val="0"/>
          <w:numId w:val="2"/>
        </w:numPr>
        <w:spacing w:after="100" w:line="290"/>
      </w:pPr>
      <w:r>
        <w:rPr>
          <w:rFonts w:ascii="Aptos" w:cs="Aptos" w:eastAsia="Aptos" w:hAnsi="Aptos"/>
          <w:color w:val="1A1A1A"/>
          <w:sz w:val="21"/>
          <w:szCs w:val="21"/>
        </w:rPr>
        <w:t xml:space="preserve">Вход через PET-войлочные панели и мебельные экраны — низкий порог по оборудованию, сырьё (переработанный ПЭТ) доступно локально, конкуренция с западными брендами идёт по цене и срокам поставки, а не по технологии.</w:t>
      </w:r>
    </w:p>
    <w:p>
      <w:pPr>
        <w:pStyle w:val="ListParagraph"/>
        <w:numPr>
          <w:ilvl w:val="0"/>
          <w:numId w:val="2"/>
        </w:numPr>
        <w:spacing w:after="100" w:line="290"/>
      </w:pPr>
      <w:r>
        <w:rPr>
          <w:rFonts w:ascii="Aptos" w:cs="Aptos" w:eastAsia="Aptos" w:hAnsi="Aptos"/>
          <w:color w:val="1A1A1A"/>
          <w:sz w:val="21"/>
          <w:szCs w:val="21"/>
        </w:rPr>
        <w:t xml:space="preserve">Стратегически более сильная позиция — не повторять западный продукт, а занять вакантную в СНГ роль верификатора: независимая лаборатория/сервис подтверждения акустических характеристик по ГОСТ 31704-2011 (аналог ISO 354) и СП 51.13330 для локальных производителей мебели.</w:t>
      </w:r>
    </w:p>
    <w:p>
      <w:pPr>
        <w:pStyle w:val="Heading3"/>
        <w:spacing w:after="90" w:before="180"/>
      </w:pPr>
      <w:r>
        <w:rPr>
          <w:rFonts w:ascii="Aptos" w:cs="Aptos" w:eastAsia="Aptos" w:hAnsi="Aptos"/>
          <w:b/>
          <w:bCs/>
          <w:color w:val="B4823C"/>
          <w:sz w:val="22"/>
          <w:szCs w:val="22"/>
        </w:rPr>
        <w:t xml:space="preserve">7 ключевых выводов</w:t>
      </w:r>
    </w:p>
    <w:p>
      <w:pPr>
        <w:pStyle w:val="ListParagraph"/>
        <w:numPr>
          <w:ilvl w:val="0"/>
          <w:numId w:val="2"/>
        </w:numPr>
        <w:spacing w:after="100" w:line="290"/>
      </w:pPr>
      <w:r>
        <w:rPr>
          <w:rFonts w:ascii="Aptos" w:cs="Aptos" w:eastAsia="Aptos" w:hAnsi="Aptos"/>
          <w:color w:val="1A1A1A"/>
          <w:sz w:val="21"/>
          <w:szCs w:val="21"/>
        </w:rPr>
        <w:t xml:space="preserve">Спрос на акустику смещается от декоративной опции к расчётному требованию допуска в проект — это структурный, а не циклический сдвиг.</w:t>
      </w:r>
    </w:p>
    <w:p>
      <w:pPr>
        <w:pStyle w:val="ListParagraph"/>
        <w:numPr>
          <w:ilvl w:val="0"/>
          <w:numId w:val="2"/>
        </w:numPr>
        <w:spacing w:after="100" w:line="290"/>
      </w:pPr>
      <w:r>
        <w:rPr>
          <w:rFonts w:ascii="Aptos" w:cs="Aptos" w:eastAsia="Aptos" w:hAnsi="Aptos"/>
          <w:color w:val="1A1A1A"/>
          <w:sz w:val="21"/>
          <w:szCs w:val="21"/>
        </w:rPr>
        <w:t xml:space="preserve">Наука подтверждает часть эффекта (продуктивность и приватность — лонгитюдным исследованием; связь с когнитивными задачами — обзором литературы с оговоркой авторов о нехватке доказательств по конкретным стратегиям дизайна), но количественная оценка ROI в отрасли остаётся модельной, а не эмпирически доказанной — это нужно явно показывать заказчику.</w:t>
      </w:r>
    </w:p>
    <w:p>
      <w:pPr>
        <w:pStyle w:val="ListParagraph"/>
        <w:numPr>
          <w:ilvl w:val="0"/>
          <w:numId w:val="2"/>
        </w:numPr>
        <w:spacing w:after="100" w:line="290"/>
      </w:pPr>
      <w:r>
        <w:rPr>
          <w:rFonts w:ascii="Aptos" w:cs="Aptos" w:eastAsia="Aptos" w:hAnsi="Aptos"/>
          <w:color w:val="1A1A1A"/>
          <w:sz w:val="21"/>
          <w:szCs w:val="21"/>
        </w:rPr>
        <w:t xml:space="preserve">Рынок акустических панелей методологически раздроблен: две сопоставимые по методологии серии (GMI и FBI) независимо сходятся на ≈9,1 млрд долл. в 2026 году, а третья серия (Strategic Market Research) даёт заметно более широкую категорию с иной траекторией — 20,1 млрд к 2030 году — это разные по составу категории, а не подтверждение единого диапазона; работать нужно с именованными сериями, а не со смешанным числом.</w:t>
      </w:r>
    </w:p>
    <w:p>
      <w:pPr>
        <w:pStyle w:val="ListParagraph"/>
        <w:numPr>
          <w:ilvl w:val="0"/>
          <w:numId w:val="2"/>
        </w:numPr>
        <w:spacing w:after="100" w:line="290"/>
      </w:pPr>
      <w:r>
        <w:rPr>
          <w:rFonts w:ascii="Aptos" w:cs="Aptos" w:eastAsia="Aptos" w:hAnsi="Aptos"/>
          <w:color w:val="1A1A1A"/>
          <w:sz w:val="21"/>
          <w:szCs w:val="21"/>
        </w:rPr>
        <w:t xml:space="preserve">PET-войлок технологически привлекателен по совмещению экологичности и эстетики, но глобальный размер именно этого под-сегмента не подтверждён независимо ни одним источником уровня A/B.</w:t>
      </w:r>
    </w:p>
    <w:p>
      <w:pPr>
        <w:pStyle w:val="ListParagraph"/>
        <w:numPr>
          <w:ilvl w:val="0"/>
          <w:numId w:val="2"/>
        </w:numPr>
        <w:spacing w:after="100" w:line="290"/>
      </w:pPr>
      <w:r>
        <w:rPr>
          <w:rFonts w:ascii="Aptos" w:cs="Aptos" w:eastAsia="Aptos" w:hAnsi="Aptos"/>
          <w:color w:val="1A1A1A"/>
          <w:sz w:val="21"/>
          <w:szCs w:val="21"/>
        </w:rPr>
        <w:t xml:space="preserve">Нормативная среда (WELL, LEED, BREEAM, СП 51.13330) — не бюрократия, а фильтр допуска для проектов, которые сами проходят сертификацию или имеют корпоративное акустическое требование: для них отсутствие протокола испытаний может исключить поставщика из закупки ещё до решения архитектора.</w:t>
      </w:r>
    </w:p>
    <w:p>
      <w:pPr>
        <w:pStyle w:val="ListParagraph"/>
        <w:numPr>
          <w:ilvl w:val="0"/>
          <w:numId w:val="2"/>
        </w:numPr>
        <w:spacing w:after="100" w:line="290"/>
      </w:pPr>
      <w:r>
        <w:rPr>
          <w:rFonts w:ascii="Aptos" w:cs="Aptos" w:eastAsia="Aptos" w:hAnsi="Aptos"/>
          <w:color w:val="1A1A1A"/>
          <w:sz w:val="21"/>
          <w:szCs w:val="21"/>
        </w:rPr>
        <w:t xml:space="preserve">Центр контроля — не материал и не бренд, а связка расчёта, спецификации и сертификации; для СНГ эта роль, по рабочей гипотезе Valmark, структурно вакантна — но гипотеза требует проверки на региональных данных, которых пока нет в открытом доступе.</w:t>
      </w:r>
    </w:p>
    <w:p>
      <w:pPr>
        <w:pStyle w:val="ListParagraph"/>
        <w:numPr>
          <w:ilvl w:val="0"/>
          <w:numId w:val="2"/>
        </w:numPr>
        <w:spacing w:after="100" w:line="290"/>
      </w:pPr>
      <w:r>
        <w:rPr>
          <w:rFonts w:ascii="Aptos" w:cs="Aptos" w:eastAsia="Aptos" w:hAnsi="Aptos"/>
          <w:color w:val="1A1A1A"/>
          <w:sz w:val="21"/>
          <w:szCs w:val="21"/>
        </w:rPr>
        <w:t xml:space="preserve">Коммодитизация грозит типовому продукту (плоская декоративная панель без протокола), но не грозит комплексному решению с расчётом и сервисом.</w:t>
      </w:r>
    </w:p>
    <w:p>
      <w:pPr>
        <w:pStyle w:val="Heading3"/>
        <w:spacing w:after="90" w:before="180"/>
      </w:pPr>
      <w:r>
        <w:rPr>
          <w:rFonts w:ascii="Aptos" w:cs="Aptos" w:eastAsia="Aptos" w:hAnsi="Aptos"/>
          <w:b/>
          <w:bCs/>
          <w:color w:val="B4823C"/>
          <w:sz w:val="22"/>
          <w:szCs w:val="22"/>
        </w:rPr>
        <w:t xml:space="preserve">3 решения, которые нельзя откладывать</w:t>
      </w:r>
    </w:p>
    <w:p>
      <w:pPr>
        <w:pStyle w:val="ListParagraph"/>
        <w:numPr>
          <w:ilvl w:val="0"/>
          <w:numId w:val="2"/>
        </w:numPr>
        <w:spacing w:after="100" w:line="290"/>
      </w:pPr>
      <w:r>
        <w:rPr>
          <w:rFonts w:ascii="Aptos" w:cs="Aptos" w:eastAsia="Aptos" w:hAnsi="Aptos"/>
          <w:color w:val="1A1A1A"/>
          <w:sz w:val="21"/>
          <w:szCs w:val="21"/>
        </w:rPr>
        <w:t xml:space="preserve">Получить протокол испытаний (измерение по ISO 354 с расчётом αw/ISO 11654 или NRC/ASTM C423, плюс класс пожарной опасности) на профильную продукцию — без него разговор со спецификатором крупного объекта не начинается.</w:t>
      </w:r>
    </w:p>
    <w:p>
      <w:pPr>
        <w:pStyle w:val="ListParagraph"/>
        <w:numPr>
          <w:ilvl w:val="0"/>
          <w:numId w:val="2"/>
        </w:numPr>
        <w:spacing w:after="100" w:line="290"/>
      </w:pPr>
      <w:r>
        <w:rPr>
          <w:rFonts w:ascii="Aptos" w:cs="Aptos" w:eastAsia="Aptos" w:hAnsi="Aptos"/>
          <w:color w:val="1A1A1A"/>
          <w:sz w:val="21"/>
          <w:szCs w:val="21"/>
        </w:rPr>
        <w:t xml:space="preserve">Выбрать одну нишу для входа (панели/экраны, а не всё сразу) и довести её до сертифицированного, а не «примерно акустического» продукта.</w:t>
      </w:r>
    </w:p>
    <w:p>
      <w:pPr>
        <w:pStyle w:val="ListParagraph"/>
        <w:numPr>
          <w:ilvl w:val="0"/>
          <w:numId w:val="2"/>
        </w:numPr>
        <w:spacing w:after="100" w:line="290"/>
      </w:pPr>
      <w:r>
        <w:rPr>
          <w:rFonts w:ascii="Aptos" w:cs="Aptos" w:eastAsia="Aptos" w:hAnsi="Aptos"/>
          <w:color w:val="1A1A1A"/>
          <w:sz w:val="21"/>
          <w:szCs w:val="21"/>
        </w:rPr>
        <w:t xml:space="preserve">Начать разговор с акустическими консультантами и BIM-интеграторами как с каналом продаж, а не воспринимать их как техническую формальность.</w:t>
      </w:r>
    </w:p>
    <w:p>
      <w:pPr>
        <w:pStyle w:val="Heading1"/>
        <w:pageBreakBefore/>
        <w:spacing w:after="160" w:before="240"/>
      </w:pPr>
      <w:r>
        <w:rPr>
          <w:rFonts w:ascii="Aptos" w:cs="Aptos" w:eastAsia="Aptos" w:hAnsi="Aptos"/>
          <w:b/>
          <w:bCs/>
          <w:color w:val="2B1D14"/>
          <w:sz w:val="30"/>
          <w:szCs w:val="30"/>
        </w:rPr>
        <w:t xml:space="preserve">Раздел 0. Верификация данных и ограничения</w:t>
      </w:r>
    </w:p>
    <w:p>
      <w:pPr>
        <w:spacing w:after="140" w:line="300"/>
        <w:jc w:val="left"/>
      </w:pPr>
      <w:r>
        <w:rPr>
          <w:rFonts w:ascii="Aptos" w:cs="Aptos" w:eastAsia="Aptos" w:hAnsi="Aptos"/>
          <w:color w:val="1A1A1A"/>
          <w:sz w:val="21"/>
          <w:szCs w:val="21"/>
        </w:rPr>
        <w:t xml:space="preserve">Часть цифр, которыми оперирует отрасль, взята из закрытых или методологически непрозрачных отчётов. Ниже — что было заявлено на входе, что показала проверка по открытым источникам и как это отражено в докладе. Это стандартная практика Valmark: несущая цифра либо подтверждается независимо, либо понижается в статусе, либо заменяется диапазоном.</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50"/>
        <w:gridCol w:w="2350"/>
        <w:gridCol w:w="2960"/>
        <w:gridCol w:w="1700"/>
      </w:tblGrid>
      <w:tr>
        <w:trPr>
          <w:cantSplit/>
          <w:tblHeader/>
        </w:trPr>
        <w:tc>
          <w:tcPr>
            <w:tcW w:type="dxa" w:w="23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Показатель</w:t>
            </w:r>
          </w:p>
        </w:tc>
        <w:tc>
          <w:tcPr>
            <w:tcW w:type="dxa" w:w="23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заявлялось</w:t>
            </w:r>
          </w:p>
        </w:tc>
        <w:tc>
          <w:tcPr>
            <w:tcW w:type="dxa" w:w="29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показала проверка</w:t>
            </w:r>
          </w:p>
        </w:tc>
        <w:tc>
          <w:tcPr>
            <w:tcW w:type="dxa" w:w="17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Решение Valmark</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Глобальный рынок акустических панелей (общая категория)</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 11,5 млрд долл. (2026)</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Разные агентства публикуют несопоставимые серии в зависимости от границ категории: Global Market Insights — 8,6 млрд долл. (2025), CAGR 6,7% к 2035; Fortune Business Insights, серия «Architectural Acoustic Panels» (проверено 15.07.2026) — 9,1 млрд долл. (2026) → 12,6 млрд (2034), CAGR 5,0%; Strategic Market Research — 12,8 млрд долл. (2024) → 20,1 млрд (2030). Это не три оценки одного рынка, а три разных по составу категории</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Оценки не объединяются в единый диапазон. В разделе 6 приведены как отдельные именованные серии с указанием издателя, года доступа и состава категории — без искусственной «зоны согласия»</w:t>
            </w:r>
          </w:p>
        </w:tc>
      </w:tr>
      <w:tr>
        <w:trPr>
          <w:cantSplit/>
        </w:trPr>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PET-войлочных акустических панелей, глобально</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 255 до 500+ млн долл. (2024–2025)</w:t>
            </w:r>
          </w:p>
        </w:tc>
        <w:tc>
          <w:tcPr>
            <w:tcW w:type="dxa" w:w="2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менее шести источников дают разброс от 120 млн до 1,2 млрд долл.; часть отчётов содержит внутренние противоречия между разделами одного документа; ни один источник не подтверждён на уровне A/B</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Количественная оценка исключена из доклада как ненадёжная; используется качественное описание роста и позиции сегмента внутри более широкого рынка панелей</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office pods (акустические кабины), глобально</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0,56 → 1,33 млрд долл. (2025–2034), Fortune Business Insights</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Страница издателя проверена дважды с разницей в несколько дней в ходе работы над докладом — оба раза показала одну и ту же цифру: 0,56 млрд долл. (2025) → 0,61 млрд (2026) → 1,33 млрд (2034), CAGR 10,06% (обновление страницы издателем — 11.05.2026). У других агентств тот же сегмент оценён от 0,72 до 2,85 млрд долл. в зависимости от того, включена ли в определение более широкая «модульная офисная мебель»</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Используется цифра FBI с указанием номера отчёта и даты доступа. Отдельно зафиксировано методологическое наблюдение: рыночные агрегаторы обновляют опубликованные прогнозы без уведомления, поэтому для такой цифры обязательна дата обращения, а не разовая проверка «на входе»</w:t>
            </w:r>
          </w:p>
        </w:tc>
      </w:tr>
      <w:tr>
        <w:trPr>
          <w:cantSplit/>
        </w:trPr>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акустической мебели как отдельной категории</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приводилось консолидированной цифры</w:t>
            </w:r>
          </w:p>
        </w:tc>
        <w:tc>
          <w:tcPr>
            <w:tcW w:type="dxa" w:w="2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Подтверждено: независимой глобальной оценки именно мебельного под-сегмента не существует, он статистически растворён в мебельном и в панельном рынках</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Раздел оценивается качественно, через долю акустических SKU в портфелях крупных производителей офисной мебели, без придуманной цифры</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Нормативная база РФ (СП 51.13330)</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Действует редакция 2011 года</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Действует СП 51.13330.2011 с изменением № 4, утверждённым приказом Минстроя России от 12.12.2023 № 909/пр, введённым в действие с 13.01.2024; изменение расширило ссылки, включая ГОСТ 31704-2011 (аналог EN ISO 354:2003)</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 докладе используется актуализированная редакция с изменением № 4</w:t>
            </w:r>
          </w:p>
        </w:tc>
      </w:tr>
      <w:tr>
        <w:trPr>
          <w:cantSplit/>
        </w:trPr>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Статус обязательности СП 51.13330 в РФ</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Формулировалось как «обязателен для проектной документации любого здания»</w:t>
            </w:r>
          </w:p>
        </w:tc>
        <w:tc>
          <w:tcPr>
            <w:tcW w:type="dxa" w:w="2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 01.09.2024 постановлением Правительства РФ № 589 от 06.05.2024 отменён прежний универсальный перечень обязательных стандартов и СП (утверждённый постановлением № 815 от 2021 года). Действующая система строится на реестре требований на портале «Стройкомплекс.РФ», задании на проектирование и способах обоснования безопасности, зафиксированных в проектной документации, — то есть на выборе конкретных требований по проекту, а не на автоматической обязательности всего документа для любого здания</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Формулировка исправлена на «ключевой нормативный документ, применимость конкретных положений которого определяется действующим реестром требований и заданием на проектирование» во всех разделах доклада</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ISO 23351-1:2020 для office pods</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Трактовался как источник показателей Rw/STC (≈30–40) и внутреннего RT (менее 0,6 с) для кабин</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Ошибка методологии. ISO 23351-1 измеряет только речевую разборчивость снаружи изделия — величину DS,A (речевое снижение) с классами A+/A/B/C/D; звукоизоляция (Rw/STC) и время реверберации внутри кабины этим стандартом не определяются. Стандарт прямо исключает из области применения отдельные экраны, шкафы, светильники, настенные и потолочные поглотители</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Формулировки исправлены во всех разделах: для office pods используется только DS,A по ISO 23351-1; для экранов, мебели и одиночных объектов добавлена ссылка на профильный ISO 20189:2018</w:t>
            </w:r>
          </w:p>
        </w:tc>
      </w:tr>
      <w:tr>
        <w:trPr>
          <w:cantSplit/>
        </w:trPr>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Формулировка «протокол NRC/αw по ISO 354»</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Использовалась как единое обозначение протокола испытаний</w:t>
            </w:r>
          </w:p>
        </w:tc>
        <w:tc>
          <w:tcPr>
            <w:tcW w:type="dxa" w:w="2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Технически неточно: ISO 354 — метод лабораторного измерения частотных коэффициентов звукопоглощения в реверберационной камере; классификация по классам A–E (αw) — отдельный стандарт ISO 11654; NRC/SAA рассчитываются по ASTM C423 на основе того же типа измерения, но по американской методике</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Формулировка исправлена на «протокол измерений по ISO 354 (или ГОСТ 31704) с расчётом αw по ISO 11654 либо NRC/SAA по ASTM C423»</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Источник Reinten et al., 2017</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Указан как исследование, «показавшее экспериментально» связь реверберации и результатов задач</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Это литературный обзор: авторы рассмотрели 272 публикации с эмпирическими данными о влиянии звука на результаты деятельности человека, из которых лишь 12 соответствовали критериям обзора. Собственный вывод авторов — доказательная база по эффективности конкретных стратегий акустического дизайна остаётся недостаточной</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Формулировка исправлена на «обзор литературы указывает на связь параметров звуковой среды с результатами выполнения задач» без утверждения о прямом эксперименте</w:t>
            </w:r>
          </w:p>
        </w:tc>
      </w:tr>
      <w:tr>
        <w:trPr>
          <w:cantSplit/>
        </w:trPr>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Источники о стрессе и кортизоле (The Acoustics Company, GB Acoustics)</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 реестре источников статус — «подтверждён двумя источниками»</w:t>
            </w:r>
          </w:p>
        </w:tc>
        <w:tc>
          <w:tcPr>
            <w:tcW w:type="dxa" w:w="2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Оба источника — коммерческие сайты акустических компаний, а не независимые рецензируемые исследования. По стандарту Valmark это источники уровня C — пригодные как поисковый сигнал, но не как основание для формулировки «доказанный эффект»</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Статус в реестре понижен до «источник уровня C — сигнал, не доказательство»; формулировка в разделе 2 переведена из категории «доказано» в категорию «вероятная зависимость»</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Утверждения об «автоматическом» исключении из закупки при отсутствии WELL/LEED/BREEAM</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Формулировки вида «физически не даёт пройти сертификацию», «исключает поставщика автоматически»</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Верно только для проектов, которые сами проходят сертификацию WELL/LEED/BREEAM или имеют эквивалентное корпоративное требование, а не для любого объекта класса А</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Формулировки заменены на «может исключить из спецификации сертифицируемого объекта или проекта с корпоративными акустическими требованиями» во всех разделах</w:t>
            </w:r>
          </w:p>
        </w:tc>
      </w:tr>
      <w:tr>
        <w:trPr>
          <w:cantSplit/>
        </w:trPr>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Нормативная база Беларуси</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Экстраполяция российских СП</w:t>
            </w:r>
          </w:p>
        </w:tc>
        <w:tc>
          <w:tcPr>
            <w:tcW w:type="dxa" w:w="2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Прямого подтверждения актуального перечня действующих ТКП/СТБ по защите от шума в интерьерах в открытых русско- и англоязычных источниках не найдено</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Раздел по Беларуси отмечен как зона с ограниченными открытыми данными; используется рабочее предположение о гармонизации с российской нормативной базой в рамках ЕАЭС, с пометкой «требует прямой проверки у местного регулятора»</w:t>
            </w:r>
          </w:p>
        </w:tc>
      </w:tr>
      <w:tr>
        <w:trPr>
          <w:cantSplit/>
        </w:trPr>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Контур СНГ в целом (роль верификатора, дефицит консультантов, приоритет ниш)</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Подавалось как выводы доклада наравне с глобальной частью</w:t>
            </w:r>
          </w:p>
        </w:tc>
        <w:tc>
          <w:tcPr>
            <w:tcW w:type="dxa" w:w="2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 один тезис по СНГ не опирается на первичный массив региональных данных — карту производителей, реестр лабораторий, анализ тендеров, цены, импорт по товарным кодам</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Все тезисы по СНГ промаркированы как «инференция Valmark / рабочая гипотеза»; в разделе 18 добавлен список данных, которые нужны, чтобы перевести гипотезу в факт</w:t>
            </w:r>
          </w:p>
        </w:tc>
      </w:tr>
    </w:tbl>
    <w:p>
      <w:pPr>
        <w:spacing w:after="80"/>
      </w:pPr>
    </w:p>
    <w:p>
      <w:pPr>
        <w:spacing w:after="140" w:line="300"/>
        <w:jc w:val="left"/>
      </w:pPr>
      <w:r>
        <w:rPr>
          <w:rFonts w:ascii="Aptos" w:cs="Aptos" w:eastAsia="Aptos" w:hAnsi="Aptos"/>
          <w:color w:val="1A1A1A"/>
          <w:sz w:val="21"/>
          <w:szCs w:val="21"/>
        </w:rPr>
        <w:t xml:space="preserve">Форматное замечание к этой версии: рыночные страницы агрегаторов периодически обновляют опубликованные прогнозы без изменения URL и без пометки версии — при повторной проверке 15.07.2026 несколько цифр вернулись к значениям исходного черновика. Правило Valmark: для любой такой цифры фиксируется не только ссылка, но и дата обращения и номер отчёта/дата последнего обновления страницы, указанные издателем.</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о методике</w:t>
            </w:r>
          </w:p>
          <w:p>
            <w:pPr>
              <w:spacing w:after="0" w:line="280"/>
            </w:pPr>
            <w:r>
              <w:rPr>
                <w:rFonts w:ascii="Aptos" w:cs="Aptos" w:eastAsia="Aptos" w:hAnsi="Aptos"/>
                <w:color w:val="1A1A1A"/>
                <w:sz w:val="20"/>
                <w:szCs w:val="20"/>
              </w:rPr>
              <w:t xml:space="preserve">Там, где в разделах ниже приводится точечная цифра рынка без диапазона, она подтверждена минимум двумя независимыми источниками уровня A или B. Все остальные оценки — диапазон с указанием методологической причины разброса. Тезисы, помеченные «инференция Valmark», — аналитический вывод команды, не подтверждённый прямыми региональными данными.</w:t>
            </w:r>
          </w:p>
        </w:tc>
      </w:tr>
    </w:tbl>
    <w:p>
      <w:pPr>
        <w:pStyle w:val="Heading1"/>
        <w:pageBreakBefore/>
        <w:spacing w:after="160" w:before="240"/>
      </w:pPr>
      <w:r>
        <w:rPr>
          <w:rFonts w:ascii="Aptos" w:cs="Aptos" w:eastAsia="Aptos" w:hAnsi="Aptos"/>
          <w:b/>
          <w:bCs/>
          <w:color w:val="2B1D14"/>
          <w:sz w:val="30"/>
          <w:szCs w:val="30"/>
        </w:rPr>
        <w:t xml:space="preserve">Раздел 1. Что изменилось: от опции к системному требованию</w:t>
      </w:r>
    </w:p>
    <w:p>
      <w:pPr>
        <w:spacing w:after="140" w:line="300"/>
        <w:jc w:val="left"/>
      </w:pPr>
      <w:r>
        <w:rPr>
          <w:rFonts w:ascii="Aptos" w:cs="Aptos" w:eastAsia="Aptos" w:hAnsi="Aptos"/>
          <w:color w:val="1A1A1A"/>
          <w:sz w:val="21"/>
          <w:szCs w:val="21"/>
        </w:rPr>
        <w:t xml:space="preserve">До 2020 года акустика интерьера была вопросом вкуса: панель на стену переговорной покупали, если бюджет позволял, и часто — уже после того, как обнаруживалась проблема с эхом. Решение принимал дизайнер, а не инженер, и критерием успеха было «стало тише на слух», а не измеримый показатель.</w:t>
      </w:r>
    </w:p>
    <w:p>
      <w:pPr>
        <w:spacing w:after="140" w:line="300"/>
        <w:jc w:val="left"/>
      </w:pPr>
      <w:r>
        <w:rPr>
          <w:rFonts w:ascii="Aptos" w:cs="Aptos" w:eastAsia="Aptos" w:hAnsi="Aptos"/>
          <w:color w:val="1A1A1A"/>
          <w:sz w:val="21"/>
          <w:szCs w:val="21"/>
        </w:rPr>
        <w:t xml:space="preserve">Это перестаёт работать по трём причинам одновременно. Во-первых, гибридный формат работы не убрал open space — он сделал его более требовательным: сотрудник, который два дня в неделю дома, ожидает от офиса такого же уровня тишины для звонков, какой у него был дома, а плотность рабочих мест в офисе за счёт гибридного графика скорее растёт, чем падает. Во-вторых, «зелёные» стандарты сертификации зданий встроили акустику в состав обязательных или высокобалльных критериев</w:t>
      </w:r>
      <w:r>
        <w:rPr>
          <w:rStyle w:val="FootnoteReference"/>
        </w:rPr>
        <w:footnoteReference w:id="4"/>
      </w:r>
      <w:r>
        <w:rPr>
          <w:rFonts w:ascii="Aptos" w:cs="Aptos" w:eastAsia="Aptos" w:hAnsi="Aptos"/>
          <w:color w:val="1A1A1A"/>
          <w:sz w:val="21"/>
          <w:szCs w:val="21"/>
        </w:rPr>
        <w:t xml:space="preserve"> — это переводит акустику из зоны вкуса в зону комплаенса, который проверяется независимым аудитом. В-третьих, технологический сдвиг (переработанный ПЭТ-войлок) снял старый компромисс «либо экологично, либо красиво, либо работает» — теперь можно получить все три свойства в одном изделии, что резко расширило круг архитекторов, готовых специфицировать акустику не в последнюю очередь.</w:t>
      </w:r>
    </w:p>
    <w:p>
      <w:pPr>
        <w:spacing w:after="140" w:line="300"/>
        <w:jc w:val="left"/>
      </w:pPr>
      <w:r>
        <w:rPr>
          <w:rFonts w:ascii="Aptos" w:cs="Aptos" w:eastAsia="Aptos" w:hAnsi="Aptos"/>
          <w:color w:val="1A1A1A"/>
          <w:sz w:val="21"/>
          <w:szCs w:val="21"/>
        </w:rPr>
        <w:t xml:space="preserve">Значение сдвига в одном предложении: акустика перестаёт быть тем, что можно вычеркнуть при сокращении бюджета, и становится тем, без чего объект физически не проходит сертификационный чек-лист или корпоративный стандарт заказчика.</w:t>
      </w:r>
    </w:p>
    <w:p>
      <w:pPr>
        <w:pStyle w:val="Heading1"/>
        <w:pageBreakBefore/>
        <w:spacing w:after="160" w:before="240"/>
      </w:pPr>
      <w:r>
        <w:rPr>
          <w:rFonts w:ascii="Aptos" w:cs="Aptos" w:eastAsia="Aptos" w:hAnsi="Aptos"/>
          <w:b/>
          <w:bCs/>
          <w:color w:val="2B1D14"/>
          <w:sz w:val="30"/>
          <w:szCs w:val="30"/>
        </w:rPr>
        <w:t xml:space="preserve">Раздел 2. Акустика как фактор здоровья и поведения человека</w:t>
      </w:r>
    </w:p>
    <w:p>
      <w:pPr>
        <w:spacing w:after="140" w:line="300"/>
        <w:jc w:val="left"/>
      </w:pPr>
      <w:r>
        <w:rPr>
          <w:rFonts w:ascii="Aptos" w:cs="Aptos" w:eastAsia="Aptos" w:hAnsi="Aptos"/>
          <w:color w:val="1A1A1A"/>
          <w:sz w:val="21"/>
          <w:szCs w:val="21"/>
        </w:rPr>
        <w:t xml:space="preserve">Это раздел, объясняющий экономику, а не заменяющий её: если шум не измеримо вредит людям, вся конструкция спроса на акустику держится на моде, а не на необходимости. Ниже — что доказано, что является корреляцией, а что остаётся вероятной зависимостью без строгого измерения.</w:t>
      </w:r>
    </w:p>
    <w:p>
      <w:pPr>
        <w:pStyle w:val="Heading3"/>
        <w:spacing w:after="90" w:before="180"/>
      </w:pPr>
      <w:r>
        <w:rPr>
          <w:rFonts w:ascii="Aptos" w:cs="Aptos" w:eastAsia="Aptos" w:hAnsi="Aptos"/>
          <w:b/>
          <w:bCs/>
          <w:color w:val="B4823C"/>
          <w:sz w:val="22"/>
          <w:szCs w:val="22"/>
        </w:rPr>
        <w:t xml:space="preserve">Доказанные эффекты</w:t>
      </w:r>
    </w:p>
    <w:p>
      <w:pPr>
        <w:pStyle w:val="ListParagraph"/>
        <w:numPr>
          <w:ilvl w:val="0"/>
          <w:numId w:val="2"/>
        </w:numPr>
        <w:spacing w:after="100" w:line="290"/>
      </w:pPr>
      <w:r>
        <w:rPr>
          <w:rFonts w:ascii="Aptos" w:cs="Aptos" w:eastAsia="Aptos" w:hAnsi="Aptos"/>
          <w:color w:val="1A1A1A"/>
          <w:sz w:val="21"/>
          <w:szCs w:val="21"/>
        </w:rPr>
        <w:t xml:space="preserve">Продуктивность и приватность: переход из отдельных кабинетов в open space статистически удваивает самооценку потерь продуктивности из-за шума, увеличивает число отвлечений и снижает ощущение приватности — это лонгитюдное полевое исследование, а не опрос мнений</w:t>
      </w:r>
      <w:r>
        <w:rPr>
          <w:rStyle w:val="FootnoteReference"/>
        </w:rPr>
        <w:footnoteReference w:id="5"/>
      </w:r>
      <w:r>
        <w:rPr>
          <w:rFonts w:ascii="Aptos" w:cs="Aptos" w:eastAsia="Aptos" w:hAnsi="Aptos"/>
          <w:color w:val="1A1A1A"/>
          <w:sz w:val="21"/>
          <w:szCs w:val="21"/>
        </w:rPr>
        <w:t xml:space="preserve">.</w:t>
      </w:r>
    </w:p>
    <w:p>
      <w:pPr>
        <w:pStyle w:val="Heading3"/>
        <w:spacing w:after="90" w:before="180"/>
      </w:pPr>
      <w:r>
        <w:rPr>
          <w:rFonts w:ascii="Aptos" w:cs="Aptos" w:eastAsia="Aptos" w:hAnsi="Aptos"/>
          <w:b/>
          <w:bCs/>
          <w:color w:val="B4823C"/>
          <w:sz w:val="22"/>
          <w:szCs w:val="22"/>
        </w:rPr>
        <w:t xml:space="preserve">Подтверждено обзором литературы, но не отдельным экспериментом</w:t>
      </w:r>
    </w:p>
    <w:p>
      <w:pPr>
        <w:pStyle w:val="ListParagraph"/>
        <w:numPr>
          <w:ilvl w:val="0"/>
          <w:numId w:val="2"/>
        </w:numPr>
        <w:spacing w:after="100" w:line="290"/>
      </w:pPr>
      <w:r>
        <w:rPr>
          <w:rFonts w:ascii="Aptos" w:cs="Aptos" w:eastAsia="Aptos" w:hAnsi="Aptos"/>
          <w:color w:val="1A1A1A"/>
          <w:sz w:val="21"/>
          <w:szCs w:val="21"/>
        </w:rPr>
        <w:t xml:space="preserve">Связь параметров звуковой среды (реверберация, разборчивость речи) с результатами выполнения когнитивных задач — систематический обзор 272 публикаций отобрал 12, соответствующих критериям качества, и подтвердил направление связи. При этом сами авторы обзора прямо указывают: доказательная база по эффективности конкретных стратегий акустического дизайна (то есть по вопросу «что именно и насколько нужно изменить в помещении») остаётся недостаточной</w:t>
      </w:r>
      <w:r>
        <w:rPr>
          <w:rStyle w:val="FootnoteReference"/>
        </w:rPr>
        <w:footnoteReference w:id="6"/>
      </w:r>
      <w:r>
        <w:rPr>
          <w:rFonts w:ascii="Aptos" w:cs="Aptos" w:eastAsia="Aptos" w:hAnsi="Aptos"/>
          <w:color w:val="1A1A1A"/>
          <w:sz w:val="21"/>
          <w:szCs w:val="21"/>
        </w:rPr>
        <w:t xml:space="preserve">. Практический вывод: связь «шум мешает работать» подтверждена; точная инженерная формула «сколько именно панелей снимает сколько именно потерь» — нет.</w:t>
      </w:r>
    </w:p>
    <w:p>
      <w:pPr>
        <w:pStyle w:val="Heading3"/>
        <w:spacing w:after="90" w:before="180"/>
      </w:pPr>
      <w:r>
        <w:rPr>
          <w:rFonts w:ascii="Aptos" w:cs="Aptos" w:eastAsia="Aptos" w:hAnsi="Aptos"/>
          <w:b/>
          <w:bCs/>
          <w:color w:val="B4823C"/>
          <w:sz w:val="22"/>
          <w:szCs w:val="22"/>
        </w:rPr>
        <w:t xml:space="preserve">Вероятные зависимости и корреляции</w:t>
      </w:r>
    </w:p>
    <w:p>
      <w:pPr>
        <w:pStyle w:val="ListParagraph"/>
        <w:numPr>
          <w:ilvl w:val="0"/>
          <w:numId w:val="2"/>
        </w:numPr>
        <w:spacing w:after="100" w:line="290"/>
      </w:pPr>
      <w:r>
        <w:rPr>
          <w:rFonts w:ascii="Aptos" w:cs="Aptos" w:eastAsia="Aptos" w:hAnsi="Aptos"/>
          <w:color w:val="1A1A1A"/>
          <w:sz w:val="21"/>
          <w:szCs w:val="21"/>
        </w:rPr>
        <w:t xml:space="preserve">Стресс-реакция и хронический фоновый шум: связь с ростом кортизола и ментальной усталостью физиологически правдоподобна и описывается в общей литературе по стрессу, но конкретно для интерьерного офисного шума этот тезис в доступных источниках подтверждён только материалами коммерческих акустических компаний, а не рецензируемыми исследованиями</w:t>
      </w:r>
      <w:r>
        <w:rPr>
          <w:rStyle w:val="FootnoteReference"/>
        </w:rPr>
        <w:footnoteReference w:id="7"/>
      </w:r>
      <w:r>
        <w:rPr>
          <w:rFonts w:ascii="Aptos" w:cs="Aptos" w:eastAsia="Aptos" w:hAnsi="Aptos"/>
          <w:color w:val="1A1A1A"/>
          <w:sz w:val="21"/>
          <w:szCs w:val="21"/>
        </w:rPr>
        <w:t xml:space="preserve">. Тезис остаётся вероятным, а не доказанным для этого доклада.</w:t>
      </w:r>
    </w:p>
    <w:p>
      <w:pPr>
        <w:pStyle w:val="ListParagraph"/>
        <w:numPr>
          <w:ilvl w:val="0"/>
          <w:numId w:val="2"/>
        </w:numPr>
        <w:spacing w:after="100" w:line="290"/>
      </w:pPr>
      <w:r>
        <w:rPr>
          <w:rFonts w:ascii="Aptos" w:cs="Aptos" w:eastAsia="Aptos" w:hAnsi="Aptos"/>
          <w:color w:val="1A1A1A"/>
          <w:sz w:val="21"/>
          <w:szCs w:val="21"/>
        </w:rPr>
        <w:t xml:space="preserve">Связь шума с сердечно-сосудистыми рисками и качеством сна изучена преимущественно для внешнего (транспортного, промышленного) шума; перенос этих выводов на интерьерный офисный шум — правдоподобная, но не отдельно доказанная экстраполяция.</w:t>
      </w:r>
    </w:p>
    <w:p>
      <w:pPr>
        <w:pStyle w:val="ListParagraph"/>
        <w:numPr>
          <w:ilvl w:val="0"/>
          <w:numId w:val="2"/>
        </w:numPr>
        <w:spacing w:after="100" w:line="290"/>
      </w:pPr>
      <w:r>
        <w:rPr>
          <w:rFonts w:ascii="Aptos" w:cs="Aptos" w:eastAsia="Aptos" w:hAnsi="Aptos"/>
          <w:color w:val="1A1A1A"/>
          <w:sz w:val="21"/>
          <w:szCs w:val="21"/>
        </w:rPr>
        <w:t xml:space="preserve">Влияние на количество ошибок и скорость восстановления пациентов в здравоохранении — направление с растущим количеством публикаций, но без консенсусной количественной оценки эффекта; в докладе это обозначается как аналитическая гипотеза Valmark, а не установленный факт.</w:t>
      </w:r>
    </w:p>
    <w:p>
      <w:pPr>
        <w:pStyle w:val="Heading3"/>
        <w:spacing w:after="90" w:before="180"/>
      </w:pPr>
      <w:r>
        <w:rPr>
          <w:rFonts w:ascii="Aptos" w:cs="Aptos" w:eastAsia="Aptos" w:hAnsi="Aptos"/>
          <w:b/>
          <w:bCs/>
          <w:color w:val="B4823C"/>
          <w:sz w:val="22"/>
          <w:szCs w:val="22"/>
        </w:rPr>
        <w:t xml:space="preserve">Что является рекламной формулировкой</w:t>
      </w:r>
    </w:p>
    <w:p>
      <w:pPr>
        <w:spacing w:after="140" w:line="300"/>
        <w:jc w:val="left"/>
      </w:pPr>
      <w:r>
        <w:rPr>
          <w:rFonts w:ascii="Aptos" w:cs="Aptos" w:eastAsia="Aptos" w:hAnsi="Aptos"/>
          <w:color w:val="1A1A1A"/>
          <w:sz w:val="21"/>
          <w:szCs w:val="21"/>
        </w:rPr>
        <w:t xml:space="preserve">Утверждения вида «акустические панели повышают продуктивность на X%» без указания протокола измерения и контрольной группы — это маркетинг, использующий реальный научный эффект, но приписывающий ему точность, которой в первичных исследованиях нет. Valmark не воспроизводит такие цифры без первоисточника.</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управленческий перевод</w:t>
            </w:r>
          </w:p>
          <w:p>
            <w:pPr>
              <w:spacing w:after="0" w:line="280"/>
            </w:pPr>
            <w:r>
              <w:rPr>
                <w:rFonts w:ascii="Aptos" w:cs="Aptos" w:eastAsia="Aptos" w:hAnsi="Aptos"/>
                <w:color w:val="1A1A1A"/>
                <w:sz w:val="20"/>
                <w:szCs w:val="20"/>
              </w:rPr>
              <w:t xml:space="preserve">Для собственника бизнеса это означает следующее: акустика — не про комфорт как эмоцию, а про измеримую потерю рабочего времени и концентрации, которая уже сегодня подтверждена наукой достаточно, чтобы обосновать бюджет, но недостаточно, чтобы обещать клиенту точный финансовый ROI. Разница между этими двумя тезисами определяет, доверяют ли поставщику акустики как инженеру или воспринимают как декоратора.</w:t>
            </w:r>
          </w:p>
        </w:tc>
      </w:tr>
    </w:tbl>
    <w:p>
      <w:pPr>
        <w:pStyle w:val="Heading1"/>
        <w:pageBreakBefore/>
        <w:spacing w:after="160" w:before="240"/>
      </w:pPr>
      <w:r>
        <w:rPr>
          <w:rFonts w:ascii="Aptos" w:cs="Aptos" w:eastAsia="Aptos" w:hAnsi="Aptos"/>
          <w:b/>
          <w:bCs/>
          <w:color w:val="2B1D14"/>
          <w:sz w:val="30"/>
          <w:szCs w:val="30"/>
        </w:rPr>
        <w:t xml:space="preserve">Раздел 3. Что именно измеряется</w:t>
      </w:r>
    </w:p>
    <w:p>
      <w:pPr>
        <w:spacing w:after="140" w:line="300"/>
        <w:jc w:val="left"/>
      </w:pPr>
      <w:r>
        <w:rPr>
          <w:rFonts w:ascii="Aptos" w:cs="Aptos" w:eastAsia="Aptos" w:hAnsi="Aptos"/>
          <w:color w:val="1A1A1A"/>
          <w:sz w:val="21"/>
          <w:szCs w:val="21"/>
        </w:rPr>
        <w:t xml:space="preserve">Рынок постоянно путает две разные физические задачи, и эта путаница — источник половины некачественных продуктовых решений в отрасли.</w:t>
      </w:r>
    </w:p>
    <w:p>
      <w:pPr>
        <w:pStyle w:val="Heading3"/>
        <w:spacing w:after="90" w:before="180"/>
      </w:pPr>
      <w:r>
        <w:rPr>
          <w:rFonts w:ascii="Aptos" w:cs="Aptos" w:eastAsia="Aptos" w:hAnsi="Aptos"/>
          <w:b/>
          <w:bCs/>
          <w:color w:val="B4823C"/>
          <w:sz w:val="22"/>
          <w:szCs w:val="22"/>
        </w:rPr>
        <w:t xml:space="preserve">Звукопоглощение против звукоизоляции</w:t>
      </w:r>
    </w:p>
    <w:p>
      <w:pPr>
        <w:spacing w:after="140" w:line="300"/>
        <w:jc w:val="left"/>
      </w:pPr>
      <w:r>
        <w:rPr>
          <w:rFonts w:ascii="Aptos" w:cs="Aptos" w:eastAsia="Aptos" w:hAnsi="Aptos"/>
          <w:color w:val="1A1A1A"/>
          <w:sz w:val="21"/>
          <w:szCs w:val="21"/>
        </w:rPr>
        <w:t xml:space="preserve">Звукопоглощение — это снижение отражённого звука внутри помещения: панель поглощает энергию звуковой волны и уменьшает эхо и реверберацию. Звукоизоляция — это ограничение передачи звука между помещениями: способность стены, двери или перекрытия не пропускать шум наружу. Панель с отличным звукопоглощением может вообще не работать на изоляцию — и наоборот, тяжёлая звукоизолирующая стена не убирает эхо внутри комнаты.</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260"/>
        <w:gridCol w:w="2000"/>
        <w:gridCol w:w="1700"/>
      </w:tblGrid>
      <w:tr>
        <w:trPr>
          <w:cantSplit/>
          <w:tblHeader/>
        </w:trPr>
        <w:tc>
          <w:tcPr>
            <w:tcW w:type="dxa" w:w="24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Показатель</w:t>
            </w:r>
          </w:p>
        </w:tc>
        <w:tc>
          <w:tcPr>
            <w:tcW w:type="dxa" w:w="32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измеряет</w:t>
            </w:r>
          </w:p>
        </w:tc>
        <w:tc>
          <w:tcPr>
            <w:tcW w:type="dxa" w:w="20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Относится к</w:t>
            </w:r>
          </w:p>
        </w:tc>
        <w:tc>
          <w:tcPr>
            <w:tcW w:type="dxa" w:w="17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Стандарт</w:t>
            </w:r>
          </w:p>
        </w:tc>
      </w:tr>
      <w:tr>
        <w:trPr>
          <w:cantSplit/>
        </w:trPr>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Измерение в реверберационной камере (без единого числового индекса)</w:t>
            </w:r>
          </w:p>
        </w:tc>
        <w:tc>
          <w:tcPr>
            <w:tcW w:type="dxa" w:w="3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Частотные коэффициенты звукопоглощения материала/изделия/одиночного объекта — исходные лабораторные данные, из которых далее считаются NRC, SAA или αw</w:t>
            </w:r>
          </w:p>
        </w:tc>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Материал / изделие / одиночный объект</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354 (в РФ — ГОСТ 31704-2011)</w:t>
            </w:r>
          </w:p>
        </w:tc>
      </w:tr>
      <w:tr>
        <w:trPr>
          <w:cantSplit/>
        </w:trPr>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NRC (Noise Reduction Coefficient)</w:t>
            </w:r>
          </w:p>
        </w:tc>
        <w:tc>
          <w:tcPr>
            <w:tcW w:type="dxa" w:w="3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коэффициент звукопоглощения материала в диапазоне 250–2000 Гц, рассчитанный из данных измерения</w:t>
            </w:r>
          </w:p>
        </w:tc>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Материал</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C423</w:t>
            </w:r>
          </w:p>
        </w:tc>
      </w:tr>
      <w:tr>
        <w:trPr>
          <w:cantSplit/>
        </w:trPr>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SAA (Sound Absorption Average)</w:t>
            </w:r>
          </w:p>
        </w:tc>
        <w:tc>
          <w:tcPr>
            <w:tcW w:type="dxa" w:w="3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Аналог NRC с более широкой полосой частот и более точным шагом усреднения</w:t>
            </w:r>
          </w:p>
        </w:tc>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Материал</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C423</w:t>
            </w:r>
          </w:p>
        </w:tc>
      </w:tr>
      <w:tr>
        <w:trPr>
          <w:cantSplit/>
        </w:trPr>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αw (weighted sound absorption coefficient)</w:t>
            </w:r>
          </w:p>
        </w:tc>
        <w:tc>
          <w:tcPr>
            <w:tcW w:type="dxa" w:w="3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Одномерный индекс звукопоглощения с классом A–E, рассчитанный из тех же исходных данных по другой методике усреднения</w:t>
            </w:r>
          </w:p>
        </w:tc>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Материал / изделие</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EN ISO 11654</w:t>
            </w:r>
          </w:p>
        </w:tc>
      </w:tr>
      <w:tr>
        <w:trPr>
          <w:cantSplit/>
        </w:trPr>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Рейтинг звукопоглощения экранов, мебели и одиночных объектов</w:t>
            </w:r>
          </w:p>
        </w:tc>
        <w:tc>
          <w:tcPr>
            <w:tcW w:type="dxa" w:w="3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Отдельная методика оценки для мебели, экранов и одиночных предметов интерьера — определяет, когда объект считать плоским поглотителем, а когда дискретным одиночным объектом</w:t>
            </w:r>
          </w:p>
        </w:tc>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Экраны, мебель, одиночные объекты</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20189:2018</w:t>
            </w:r>
          </w:p>
        </w:tc>
      </w:tr>
      <w:tr>
        <w:trPr>
          <w:cantSplit/>
        </w:trPr>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RT60 (время реверберации)</w:t>
            </w:r>
          </w:p>
        </w:tc>
        <w:tc>
          <w:tcPr>
            <w:tcW w:type="dxa" w:w="3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Время снижения уровня звука на 60 дБ после выключения источника</w:t>
            </w:r>
          </w:p>
        </w:tc>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Помещение</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3382</w:t>
            </w:r>
          </w:p>
        </w:tc>
      </w:tr>
      <w:tr>
        <w:trPr>
          <w:cantSplit/>
        </w:trPr>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STI (Speech Transmission Index)</w:t>
            </w:r>
          </w:p>
        </w:tc>
        <w:tc>
          <w:tcPr>
            <w:tcW w:type="dxa" w:w="3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Индекс разборчивости речи, 0–1</w:t>
            </w:r>
          </w:p>
        </w:tc>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Помещение / система оповещения</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IEC 60268-16</w:t>
            </w:r>
          </w:p>
        </w:tc>
      </w:tr>
      <w:tr>
        <w:trPr>
          <w:cantSplit/>
        </w:trPr>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DS,A (речевое снижение)</w:t>
            </w:r>
          </w:p>
        </w:tc>
        <w:tc>
          <w:tcPr>
            <w:tcW w:type="dxa" w:w="3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Насколько кабина или мебельный ансамбль снижает уровень речи говорящего внутри для окружающего пространства; классы A+/A/B/C/D</w:t>
            </w:r>
          </w:p>
        </w:tc>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Office pods, будки, частично закрытые рабочие места</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23351-1:2020</w:t>
            </w:r>
          </w:p>
        </w:tc>
      </w:tr>
      <w:tr>
        <w:trPr>
          <w:cantSplit/>
        </w:trPr>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Rw (weighted sound reduction index)</w:t>
            </w:r>
          </w:p>
        </w:tc>
        <w:tc>
          <w:tcPr>
            <w:tcW w:type="dxa" w:w="3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Взвешенный индекс изоляции воздушного шума конструкции</w:t>
            </w:r>
          </w:p>
        </w:tc>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Конструкция (стена, перекрытие, дверь)</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717-1</w:t>
            </w:r>
          </w:p>
        </w:tc>
      </w:tr>
      <w:tr>
        <w:trPr>
          <w:cantSplit/>
        </w:trPr>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STC (Sound Transmission Class)</w:t>
            </w:r>
          </w:p>
        </w:tc>
        <w:tc>
          <w:tcPr>
            <w:tcW w:type="dxa" w:w="3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Американский аналог Rw</w:t>
            </w:r>
          </w:p>
        </w:tc>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Конструкция</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E413</w:t>
            </w:r>
          </w:p>
        </w:tc>
      </w:tr>
      <w:tr>
        <w:trPr>
          <w:cantSplit/>
        </w:trPr>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IIC (Impact Insulation Class)</w:t>
            </w:r>
          </w:p>
        </w:tc>
        <w:tc>
          <w:tcPr>
            <w:tcW w:type="dxa" w:w="3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Изоляция ударного шума перекрытием (шаги, падение предметов)</w:t>
            </w:r>
          </w:p>
        </w:tc>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Перекрытие</w:t>
            </w:r>
          </w:p>
        </w:tc>
        <w:tc>
          <w:tcPr>
            <w:tcW w:type="dxa" w:w="1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E989 / ISO 717-2</w:t>
            </w:r>
          </w:p>
        </w:tc>
      </w:tr>
      <w:tr>
        <w:trPr>
          <w:cantSplit/>
        </w:trPr>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dB / dB(A)</w:t>
            </w:r>
          </w:p>
        </w:tc>
        <w:tc>
          <w:tcPr>
            <w:tcW w:type="dxa" w:w="3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Уровень звукового давления, «A» — с поправкой на чувствительность слуха человека</w:t>
            </w:r>
          </w:p>
        </w:tc>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Источник звука / помещение</w:t>
            </w:r>
          </w:p>
        </w:tc>
        <w:tc>
          <w:tcPr>
            <w:tcW w:type="dxa" w:w="1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IEC 61672</w:t>
            </w:r>
          </w:p>
        </w:tc>
      </w:tr>
    </w:tbl>
    <w:p>
      <w:pPr>
        <w:spacing w:after="80"/>
      </w:pPr>
    </w:p>
    <w:p>
      <w:pPr>
        <w:spacing w:after="140" w:line="300"/>
        <w:jc w:val="left"/>
      </w:pPr>
      <w:r>
        <w:rPr>
          <w:rFonts w:ascii="Aptos" w:cs="Aptos" w:eastAsia="Aptos" w:hAnsi="Aptos"/>
          <w:color w:val="1A1A1A"/>
          <w:sz w:val="21"/>
          <w:szCs w:val="21"/>
        </w:rPr>
        <w:t xml:space="preserve">Важное уточнение цепочки: ISO 354 — это метод измерения, а не готовый индекс. Из одних и тех же лабораторных данных далее считаются два разных индекса по двум разным методикам усреднения: NRC/SAA — по ASTM C423 (американская традиция), αw с классом A–E — по ISO 11654 (европейская традиция). Формулировка «протокол NRC/αw по ISO 354» технически неточна и в этом докладе не используется — правильно: «измерение по ISO 354, классификация по ISO 11654 (αw) либо по ASTM C423 (NRC/SAA)».</w:t>
      </w:r>
    </w:p>
    <w:p>
      <w:pPr>
        <w:spacing w:after="140" w:line="300"/>
        <w:jc w:val="left"/>
      </w:pPr>
      <w:r>
        <w:rPr>
          <w:rFonts w:ascii="Aptos" w:cs="Aptos" w:eastAsia="Aptos" w:hAnsi="Aptos"/>
          <w:color w:val="1A1A1A"/>
          <w:sz w:val="21"/>
          <w:szCs w:val="21"/>
        </w:rPr>
        <w:t xml:space="preserve">Отдельная и частая ошибка — переносить методику ISO 23351-1 (речевое снижение office pods, DS,A) на звукоизоляцию или время реверберации. Стандарт измеряет только то, насколько кабина снижает уровень речи говорящего внутри для окружающих, и прямо исключает из области применения отдельные экраны, шкафы, светильники, настенные и потолочные поглотители — для них применяется ISO 20189:2018.</w:t>
      </w:r>
    </w:p>
    <w:p>
      <w:pPr>
        <w:spacing w:after="60" w:before="120"/>
        <w:jc w:val="center"/>
      </w:pPr>
      <w:r>
        <w:drawing>
          <wp:inline distT="0" distB="0" distL="0" distR="0">
            <wp:extent cx="5715000" cy="3305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305175"/>
                    </a:xfrm>
                    <a:prstGeom prst="rect">
                      <a:avLst/>
                    </a:prstGeom>
                  </pic:spPr>
                </pic:pic>
              </a:graphicData>
            </a:graphic>
          </wp:inline>
        </w:drawing>
      </w:r>
    </w:p>
    <w:p>
      <w:pPr>
        <w:spacing w:after="200"/>
        <w:jc w:val="center"/>
      </w:pPr>
      <w:r>
        <w:rPr>
          <w:rFonts w:ascii="Aptos" w:cs="Aptos" w:eastAsia="Aptos" w:hAnsi="Aptos"/>
          <w:i/>
          <w:iCs/>
          <w:color w:val="5B5347"/>
          <w:sz w:val="17"/>
          <w:szCs w:val="17"/>
        </w:rPr>
        <w:t xml:space="preserve">Карта показателей акустики: что к чему относится и по какому стандарту измеряется.</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инференция Valmark</w:t>
            </w:r>
          </w:p>
          <w:p>
            <w:pPr>
              <w:spacing w:after="0" w:line="280"/>
            </w:pPr>
            <w:r>
              <w:rPr>
                <w:rFonts w:ascii="Aptos" w:cs="Aptos" w:eastAsia="Aptos" w:hAnsi="Aptos"/>
                <w:color w:val="1A1A1A"/>
                <w:sz w:val="20"/>
                <w:szCs w:val="20"/>
              </w:rPr>
              <w:t xml:space="preserve">Регулярная путаница NRC и Rw в закупочных тендерах — один из самых частых источников спора между заказчиком и подрядчиком в проектах СНГ: заказчик ожидает «тишины из соседней комнаты» от продукта, который физически решает другую задачу. Устранение этой путаницы — низкозатратная точка дифференциации для поставщика, который умеет объяснить разницу на понятном языке.</w:t>
            </w:r>
          </w:p>
        </w:tc>
      </w:tr>
    </w:tbl>
    <w:p>
      <w:pPr>
        <w:pStyle w:val="Heading1"/>
        <w:pageBreakBefore/>
        <w:spacing w:after="160" w:before="240"/>
      </w:pPr>
      <w:r>
        <w:rPr>
          <w:rFonts w:ascii="Aptos" w:cs="Aptos" w:eastAsia="Aptos" w:hAnsi="Aptos"/>
          <w:b/>
          <w:bCs/>
          <w:color w:val="2B1D14"/>
          <w:sz w:val="30"/>
          <w:szCs w:val="30"/>
        </w:rPr>
        <w:t xml:space="preserve">Раздел 4. Карта проблем по типам помещений</w:t>
      </w:r>
    </w:p>
    <w:p>
      <w:pPr>
        <w:spacing w:after="140" w:line="300"/>
        <w:jc w:val="left"/>
      </w:pPr>
      <w:r>
        <w:rPr>
          <w:rFonts w:ascii="Aptos" w:cs="Aptos" w:eastAsia="Aptos" w:hAnsi="Aptos"/>
          <w:color w:val="1A1A1A"/>
          <w:sz w:val="21"/>
          <w:szCs w:val="21"/>
        </w:rPr>
        <w:t xml:space="preserve">Спрос на акустику неоднороден: платёжеспособность, лицо, принимающее решение, и рыночный потенциал сильно различаются между сегментами. Смешивать их в одну «акустическую отрасль» — управленческая ошибка.</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500"/>
        <w:gridCol w:w="2600"/>
        <w:gridCol w:w="2360"/>
      </w:tblGrid>
      <w:tr>
        <w:trPr>
          <w:cantSplit/>
          <w:tblHeader/>
        </w:trPr>
        <w:tc>
          <w:tcPr>
            <w:tcW w:type="dxa" w:w="1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Сегмент</w:t>
            </w:r>
          </w:p>
        </w:tc>
        <w:tc>
          <w:tcPr>
            <w:tcW w:type="dxa" w:w="25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Источник проблемы</w:t>
            </w:r>
          </w:p>
        </w:tc>
        <w:tc>
          <w:tcPr>
            <w:tcW w:type="dxa" w:w="26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Кто платит и решает</w:t>
            </w:r>
          </w:p>
        </w:tc>
        <w:tc>
          <w:tcPr>
            <w:tcW w:type="dxa" w:w="23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Рыночный потенциал для СНГ</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Open space и переговорные</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Плотная рассадка, стекло и бетон как отделка, отсутствие мягких поверхностей</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Девелопер на этапе fit-out или сам арендатор при въезде; решение принимает офис-менеджер совместно с архитектором</w:t>
            </w:r>
          </w:p>
        </w:tc>
        <w:tc>
          <w:tcPr>
            <w:tcW w:type="dxa" w:w="23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 крупнейший по объёму и наиболее оцифрованный сегмент спроса</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Коворкинги</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Максимизация числа рабочих мест на площадь при минимальном бюджете на отделку</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Оператор пространства, чувствителен к цене за м²</w:t>
            </w:r>
          </w:p>
        </w:tc>
        <w:tc>
          <w:tcPr>
            <w:tcW w:type="dxa" w:w="23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 цена важнее сертификата</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Школы и детские сады</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Твёрдые поверхности, высокая плотность детей, требования к разборчивости речи для обучения</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Государственный или частный заказчик через тендер, часто регламентировано СП</w:t>
            </w:r>
          </w:p>
        </w:tc>
        <w:tc>
          <w:tcPr>
            <w:tcW w:type="dxa" w:w="23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Средний–высокий — стабильный, но забюрократизированный спрос</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Университеты</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Большие аудитории, разборчивость речи на дальних рядах</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Учреждение через капитальный бюджет</w:t>
            </w:r>
          </w:p>
        </w:tc>
        <w:tc>
          <w:tcPr>
            <w:tcW w:type="dxa" w:w="23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Рестораны и HoReCa</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Твёрдые полы и потолки ради простоты уборки создают сверхвысокий шумовой фон в часы пик</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Собственник/оператор заведения, дизайн-бюро</w:t>
            </w:r>
          </w:p>
        </w:tc>
        <w:tc>
          <w:tcPr>
            <w:tcW w:type="dxa" w:w="23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 растущий и недооценённый сегмент, платёжеспособность есть, осведомлённость низкая</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Гостиницы</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Требования к звукоизоляции номеров плюс акустика лобби/ресторана</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Оператор сети или девелопер по брендовому стандарту</w:t>
            </w:r>
          </w:p>
        </w:tc>
        <w:tc>
          <w:tcPr>
            <w:tcW w:type="dxa" w:w="23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Средний–высокий — сетевые стандарты часто жёстче локальных норм</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Клиники и медицинские центры</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Требования к приватности речи (тайна консультации) и к снижению стресса пациентов</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Медицинское учреждение, часто регламентировано отдельно от общих СП</w:t>
            </w:r>
          </w:p>
        </w:tc>
        <w:tc>
          <w:tcPr>
            <w:tcW w:type="dxa" w:w="23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 стабильный, но требует специфических гигиенических сертификатов</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Пространства для пожилых</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Возрастное снижение слуха повышает чувствительность к реверберации и фоновому шуму</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Оператор учреждения/девелопер социального жилья</w:t>
            </w:r>
          </w:p>
        </w:tc>
        <w:tc>
          <w:tcPr>
            <w:tcW w:type="dxa" w:w="23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 по объёму, но растущий вместе с демографией</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Библиотеки и общественные пространства</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Совмещение тихих зон и зон взаимодействия в одном объёме</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Муниципальный или институциональный заказчик</w:t>
            </w:r>
          </w:p>
        </w:tc>
        <w:tc>
          <w:tcPr>
            <w:tcW w:type="dxa" w:w="23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Низкий–средний</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Жильё и домашние офисы</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Тонкие межквартирные перегородки, открытые кухни-гостиные, home-office без расчёта</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Частный собственник или девелопер жилого проекта (в в частности премиум-сегмент)</w:t>
            </w:r>
          </w:p>
        </w:tc>
        <w:tc>
          <w:tcPr>
            <w:tcW w:type="dxa" w:w="23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долгосрочно — только формируется как осознанный спрос</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инференция Valmark</w:t>
            </w:r>
          </w:p>
          <w:p>
            <w:pPr>
              <w:spacing w:after="0" w:line="280"/>
            </w:pPr>
            <w:r>
              <w:rPr>
                <w:rFonts w:ascii="Aptos" w:cs="Aptos" w:eastAsia="Aptos" w:hAnsi="Aptos"/>
                <w:color w:val="1A1A1A"/>
                <w:sz w:val="20"/>
                <w:szCs w:val="20"/>
              </w:rPr>
              <w:t xml:space="preserve">HoReCa и жильё — два сегмента, где спрос уже есть физически (люди жалуются на шум в ресторане или дома), но ещё не оформлен в закупочный процесс так, как в офисном сегменте. Кто первым переведёт эту жалобу в понятный продукт с ценником — займёт свободную нишу быстрее, чем в перегретом офисном сегменте.</w:t>
            </w:r>
          </w:p>
        </w:tc>
      </w:tr>
    </w:tbl>
    <w:p>
      <w:pPr>
        <w:pStyle w:val="Heading1"/>
        <w:pageBreakBefore/>
        <w:spacing w:after="160" w:before="240"/>
      </w:pPr>
      <w:r>
        <w:rPr>
          <w:rFonts w:ascii="Aptos" w:cs="Aptos" w:eastAsia="Aptos" w:hAnsi="Aptos"/>
          <w:b/>
          <w:bCs/>
          <w:color w:val="2B1D14"/>
          <w:sz w:val="30"/>
          <w:szCs w:val="30"/>
        </w:rPr>
        <w:t xml:space="preserve">Раздел 5. Структурное давление на рынок</w:t>
      </w:r>
    </w:p>
    <w:p>
      <w:pPr>
        <w:spacing w:after="140" w:line="300"/>
        <w:jc w:val="left"/>
      </w:pPr>
      <w:r>
        <w:rPr>
          <w:rFonts w:ascii="Aptos" w:cs="Aptos" w:eastAsia="Aptos" w:hAnsi="Aptos"/>
          <w:color w:val="1A1A1A"/>
          <w:sz w:val="21"/>
          <w:szCs w:val="21"/>
        </w:rPr>
        <w:t xml:space="preserve">Несколько сил одновременно толкают акустику из категории «опция» в категорию «обязательный параметр». Ниже — не перечисление факторов ради полноты, а то, как каждый из них меняет деньги и контроль.</w:t>
      </w:r>
    </w:p>
    <w:p>
      <w:pPr>
        <w:pStyle w:val="ListParagraph"/>
        <w:numPr>
          <w:ilvl w:val="0"/>
          <w:numId w:val="2"/>
        </w:numPr>
        <w:spacing w:after="100" w:line="290"/>
      </w:pPr>
      <w:r>
        <w:rPr>
          <w:rFonts w:ascii="Aptos" w:cs="Aptos" w:eastAsia="Aptos" w:hAnsi="Aptos"/>
          <w:b/>
          <w:bCs/>
          <w:color w:val="1A1A1A"/>
          <w:sz w:val="21"/>
          <w:szCs w:val="21"/>
        </w:rPr>
        <w:t xml:space="preserve">Регулирование и сертификация. </w:t>
      </w:r>
      <w:r>
        <w:rPr>
          <w:rFonts w:ascii="Aptos" w:cs="Aptos" w:eastAsia="Aptos" w:hAnsi="Aptos"/>
          <w:color w:val="1A1A1A"/>
          <w:sz w:val="21"/>
          <w:szCs w:val="21"/>
        </w:rPr>
        <w:t xml:space="preserve">WELL, LEED, BREEAM переводят акустику из вкусовой категории в проверяемый чек-лист для проектов, которые сами проходят эту сертификацию, — это не создаёт новые деньги напрямую, но создаёт барьер входа: продукт без протокола испытаний может выпасть из спецификации сертифицируемого объекта или проекта с корпоративными акустическими требованиями, даже при более низкой цене.</w:t>
      </w:r>
    </w:p>
    <w:p>
      <w:pPr>
        <w:pStyle w:val="ListParagraph"/>
        <w:numPr>
          <w:ilvl w:val="0"/>
          <w:numId w:val="2"/>
        </w:numPr>
        <w:spacing w:after="100" w:line="290"/>
      </w:pPr>
      <w:r>
        <w:rPr>
          <w:rFonts w:ascii="Aptos" w:cs="Aptos" w:eastAsia="Aptos" w:hAnsi="Aptos"/>
          <w:b/>
          <w:bCs/>
          <w:color w:val="1A1A1A"/>
          <w:sz w:val="21"/>
          <w:szCs w:val="21"/>
        </w:rPr>
        <w:t xml:space="preserve">Труд и формат работы. </w:t>
      </w:r>
      <w:r>
        <w:rPr>
          <w:rFonts w:ascii="Aptos" w:cs="Aptos" w:eastAsia="Aptos" w:hAnsi="Aptos"/>
          <w:color w:val="1A1A1A"/>
          <w:sz w:val="21"/>
          <w:szCs w:val="21"/>
        </w:rPr>
        <w:t xml:space="preserve">Гибридный график не снизил суммарную плотность использования офиса — он сделал время в офисе более требовательным к качеству звонков и фокус-работы, что переносит бюджет с квадратных метров на качество среды внутри них.</w:t>
      </w:r>
    </w:p>
    <w:p>
      <w:pPr>
        <w:pStyle w:val="ListParagraph"/>
        <w:numPr>
          <w:ilvl w:val="0"/>
          <w:numId w:val="2"/>
        </w:numPr>
        <w:spacing w:after="100" w:line="290"/>
      </w:pPr>
      <w:r>
        <w:rPr>
          <w:rFonts w:ascii="Aptos" w:cs="Aptos" w:eastAsia="Aptos" w:hAnsi="Aptos"/>
          <w:b/>
          <w:bCs/>
          <w:color w:val="1A1A1A"/>
          <w:sz w:val="21"/>
          <w:szCs w:val="21"/>
        </w:rPr>
        <w:t xml:space="preserve">Материалы и цепочки поставок. </w:t>
      </w:r>
      <w:r>
        <w:rPr>
          <w:rFonts w:ascii="Aptos" w:cs="Aptos" w:eastAsia="Aptos" w:hAnsi="Aptos"/>
          <w:color w:val="1A1A1A"/>
          <w:sz w:val="21"/>
          <w:szCs w:val="21"/>
        </w:rPr>
        <w:t xml:space="preserve">Доступность переработанного ПЭТ как сырья снижает порог входа для новых производителей и одновременно снижает зависимость от импортной минеральной ваты западных брендов — это прямая точка входа для локализации в СНГ.</w:t>
      </w:r>
    </w:p>
    <w:p>
      <w:pPr>
        <w:pStyle w:val="ListParagraph"/>
        <w:numPr>
          <w:ilvl w:val="0"/>
          <w:numId w:val="2"/>
        </w:numPr>
        <w:spacing w:after="100" w:line="290"/>
      </w:pPr>
      <w:r>
        <w:rPr>
          <w:rFonts w:ascii="Aptos" w:cs="Aptos" w:eastAsia="Aptos" w:hAnsi="Aptos"/>
          <w:b/>
          <w:bCs/>
          <w:color w:val="1A1A1A"/>
          <w:sz w:val="21"/>
          <w:szCs w:val="21"/>
        </w:rPr>
        <w:t xml:space="preserve">Цифровизация проектирования. </w:t>
      </w:r>
      <w:r>
        <w:rPr>
          <w:rFonts w:ascii="Aptos" w:cs="Aptos" w:eastAsia="Aptos" w:hAnsi="Aptos"/>
          <w:color w:val="1A1A1A"/>
          <w:sz w:val="21"/>
          <w:szCs w:val="21"/>
        </w:rPr>
        <w:t xml:space="preserve">BIM-интеграция акустического расчёта означает, что решение о материале всё чаще принимается на этапе модели, а не на этапе закупки в шоуруме — это смещает точку контроля от продавца к проектировщику.</w:t>
      </w:r>
    </w:p>
    <w:p>
      <w:pPr>
        <w:pStyle w:val="ListParagraph"/>
        <w:numPr>
          <w:ilvl w:val="0"/>
          <w:numId w:val="2"/>
        </w:numPr>
        <w:spacing w:after="100" w:line="290"/>
      </w:pPr>
      <w:r>
        <w:rPr>
          <w:rFonts w:ascii="Aptos" w:cs="Aptos" w:eastAsia="Aptos" w:hAnsi="Aptos"/>
          <w:b/>
          <w:bCs/>
          <w:color w:val="1A1A1A"/>
          <w:sz w:val="21"/>
          <w:szCs w:val="21"/>
        </w:rPr>
        <w:t xml:space="preserve">Геоэкономика и импортозамещение в СНГ. </w:t>
      </w:r>
      <w:r>
        <w:rPr>
          <w:rFonts w:ascii="Aptos" w:cs="Aptos" w:eastAsia="Aptos" w:hAnsi="Aptos"/>
          <w:color w:val="1A1A1A"/>
          <w:sz w:val="21"/>
          <w:szCs w:val="21"/>
        </w:rPr>
        <w:t xml:space="preserve">Уход или удорожание части западных систем (потолочные решения, кабины) освобождает нишу для локального производства при условии, что оно закрывает требование к протоколу испытаний, а не только к внешнему виду.</w:t>
      </w:r>
    </w:p>
    <w:p>
      <w:pPr>
        <w:pStyle w:val="Heading1"/>
        <w:pageBreakBefore/>
        <w:spacing w:after="160" w:before="240"/>
      </w:pPr>
      <w:r>
        <w:rPr>
          <w:rFonts w:ascii="Aptos" w:cs="Aptos" w:eastAsia="Aptos" w:hAnsi="Aptos"/>
          <w:b/>
          <w:bCs/>
          <w:color w:val="2B1D14"/>
          <w:sz w:val="30"/>
          <w:szCs w:val="30"/>
        </w:rPr>
        <w:t xml:space="preserve">Раздел 6. Рынок и динамика</w:t>
      </w:r>
    </w:p>
    <w:p>
      <w:pPr>
        <w:spacing w:after="140" w:line="300"/>
        <w:jc w:val="left"/>
      </w:pPr>
      <w:r>
        <w:rPr>
          <w:rFonts w:ascii="Aptos" w:cs="Aptos" w:eastAsia="Aptos" w:hAnsi="Aptos"/>
          <w:color w:val="1A1A1A"/>
          <w:sz w:val="21"/>
          <w:szCs w:val="21"/>
        </w:rPr>
        <w:t xml:space="preserve">Оценки размера рынка акустических панелей у разных агентств не образуют один диапазон — это три структурно разные серии, которые нельзя механически усреднять, потому что у них разный состав категории.</w:t>
      </w:r>
    </w:p>
    <w:p>
      <w:pPr>
        <w:pStyle w:val="ListParagraph"/>
        <w:numPr>
          <w:ilvl w:val="0"/>
          <w:numId w:val="2"/>
        </w:numPr>
        <w:spacing w:after="100" w:line="290"/>
      </w:pPr>
      <w:r>
        <w:rPr>
          <w:rFonts w:ascii="Aptos" w:cs="Aptos" w:eastAsia="Aptos" w:hAnsi="Aptos"/>
          <w:b/>
          <w:bCs/>
          <w:color w:val="1A1A1A"/>
          <w:sz w:val="21"/>
          <w:szCs w:val="21"/>
        </w:rPr>
        <w:t xml:space="preserve">«Acoustic Panel Market» (Global Market Insights): </w:t>
      </w:r>
      <w:r>
        <w:rPr>
          <w:rFonts w:ascii="Aptos" w:cs="Aptos" w:eastAsia="Aptos" w:hAnsi="Aptos"/>
          <w:color w:val="1A1A1A"/>
          <w:sz w:val="21"/>
          <w:szCs w:val="21"/>
        </w:rPr>
        <w:t xml:space="preserve">8,6 млрд долл. (2025) → 9,1 млрд (2026) → 16,4 млрд (2035), CAGR 6,7%</w:t>
      </w:r>
      <w:r>
        <w:rPr>
          <w:rStyle w:val="FootnoteReference"/>
        </w:rPr>
        <w:footnoteReference w:id="8"/>
      </w:r>
    </w:p>
    <w:p>
      <w:pPr>
        <w:pStyle w:val="ListParagraph"/>
        <w:numPr>
          <w:ilvl w:val="0"/>
          <w:numId w:val="2"/>
        </w:numPr>
        <w:spacing w:after="100" w:line="290"/>
      </w:pPr>
      <w:r>
        <w:rPr>
          <w:rFonts w:ascii="Aptos" w:cs="Aptos" w:eastAsia="Aptos" w:hAnsi="Aptos"/>
          <w:b/>
          <w:bCs/>
          <w:color w:val="1A1A1A"/>
          <w:sz w:val="21"/>
          <w:szCs w:val="21"/>
        </w:rPr>
        <w:t xml:space="preserve">«Architectural Acoustic Panels Market» (Fortune Business Insights): </w:t>
      </w:r>
      <w:r>
        <w:rPr>
          <w:rFonts w:ascii="Aptos" w:cs="Aptos" w:eastAsia="Aptos" w:hAnsi="Aptos"/>
          <w:color w:val="1A1A1A"/>
          <w:sz w:val="21"/>
          <w:szCs w:val="21"/>
        </w:rPr>
        <w:t xml:space="preserve">8,7 млрд долл. (2025) → 9,1 млрд (2026) → 12,6 млрд (2034), CAGR 5,0%</w:t>
      </w:r>
      <w:r>
        <w:rPr>
          <w:rStyle w:val="FootnoteReference"/>
        </w:rPr>
        <w:footnoteReference w:id="9"/>
      </w:r>
    </w:p>
    <w:p>
      <w:pPr>
        <w:pStyle w:val="ListParagraph"/>
        <w:numPr>
          <w:ilvl w:val="0"/>
          <w:numId w:val="2"/>
        </w:numPr>
        <w:spacing w:after="100" w:line="290"/>
      </w:pPr>
      <w:r>
        <w:rPr>
          <w:rFonts w:ascii="Aptos" w:cs="Aptos" w:eastAsia="Aptos" w:hAnsi="Aptos"/>
          <w:b/>
          <w:bCs/>
          <w:color w:val="1A1A1A"/>
          <w:sz w:val="21"/>
          <w:szCs w:val="21"/>
        </w:rPr>
        <w:t xml:space="preserve">«Acoustic Panel Market» (Strategic Market Research): </w:t>
      </w:r>
      <w:r>
        <w:rPr>
          <w:rFonts w:ascii="Aptos" w:cs="Aptos" w:eastAsia="Aptos" w:hAnsi="Aptos"/>
          <w:color w:val="1A1A1A"/>
          <w:sz w:val="21"/>
          <w:szCs w:val="21"/>
        </w:rPr>
        <w:t xml:space="preserve">12,8 млрд долл. (2024) → 20,1 млрд (2030), CAGR 7,8% — заметно выше двух предыдущих серий, вероятно за счёт более широкого определения категории</w:t>
      </w:r>
      <w:r>
        <w:rPr>
          <w:rStyle w:val="FootnoteReference"/>
        </w:rPr>
        <w:footnoteReference w:id="10"/>
      </w:r>
    </w:p>
    <w:p>
      <w:pPr>
        <w:spacing w:after="80"/>
      </w:pPr>
    </w:p>
    <w:p>
      <w:pPr>
        <w:spacing w:after="140" w:line="300"/>
        <w:jc w:val="left"/>
      </w:pPr>
      <w:r>
        <w:rPr>
          <w:rFonts w:ascii="Aptos" w:cs="Aptos" w:eastAsia="Aptos" w:hAnsi="Aptos"/>
          <w:color w:val="1A1A1A"/>
          <w:sz w:val="21"/>
          <w:szCs w:val="21"/>
        </w:rPr>
        <w:t xml:space="preserve">Две первые серии (GMI и FBI) сопоставимы по порядку величины и оба независимо дают ≈9 млрд долл. на 2026 год — это не случайное совпадение, а разумная опорная точка для оценки текущего размера категории «архитектурные акустические панели». Третья серия заметно выше и, вероятно, включает более широкий состав продукции; она приведена отдельно, а не смешана с первыми двумя. Для целей этого доклада как рабочий ориентир на 2026 год используется диапазон 9–10 млрд долл. — это не «зона согласия» всех источников, а точка, где сходятся два независимых, методологически описанных агентства.</w:t>
      </w:r>
    </w:p>
    <w:p>
      <w:pPr>
        <w:spacing w:after="140" w:line="300"/>
        <w:jc w:val="left"/>
      </w:pPr>
      <w:r>
        <w:rPr>
          <w:rFonts w:ascii="Aptos" w:cs="Aptos" w:eastAsia="Aptos" w:hAnsi="Aptos"/>
          <w:color w:val="1A1A1A"/>
          <w:sz w:val="21"/>
          <w:szCs w:val="21"/>
        </w:rPr>
        <w:t xml:space="preserve">Office pods (акустические кабины и переговорные-капсулы) — более узкий, но быстрее растущий сегмент: по данным Fortune Business Insights, рынок оценивается в 0,56 млрд долл. в 2025 году с ростом до 1,33 млрд к 2034 году, CAGR 10,06%</w:t>
      </w:r>
      <w:r>
        <w:rPr>
          <w:rStyle w:val="FootnoteReference"/>
        </w:rPr>
        <w:footnoteReference w:id="11"/>
      </w:r>
      <w:r>
        <w:rPr>
          <w:rFonts w:ascii="Aptos" w:cs="Aptos" w:eastAsia="Aptos" w:hAnsi="Aptos"/>
          <w:color w:val="1A1A1A"/>
          <w:sz w:val="21"/>
          <w:szCs w:val="21"/>
        </w:rPr>
        <w:t xml:space="preserve"> — драйвер тот же: приватность внутри открытой планировки становится товаром с понятной ценой за штуку, а не абстрактным качеством среды.</w:t>
      </w:r>
    </w:p>
    <w:p>
      <w:pPr>
        <w:pStyle w:val="Heading3"/>
        <w:spacing w:after="90" w:before="180"/>
      </w:pPr>
      <w:r>
        <w:rPr>
          <w:rFonts w:ascii="Aptos" w:cs="Aptos" w:eastAsia="Aptos" w:hAnsi="Aptos"/>
          <w:b/>
          <w:bCs/>
          <w:color w:val="B4823C"/>
          <w:sz w:val="22"/>
          <w:szCs w:val="22"/>
        </w:rPr>
        <w:t xml:space="preserve">Двухконтурная модель: глобальный фон и контур СНГ</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статус вывода</w:t>
            </w:r>
          </w:p>
          <w:p>
            <w:pPr>
              <w:spacing w:after="0" w:line="280"/>
            </w:pPr>
            <w:r>
              <w:rPr>
                <w:rFonts w:ascii="Aptos" w:cs="Aptos" w:eastAsia="Aptos" w:hAnsi="Aptos"/>
                <w:color w:val="1A1A1A"/>
                <w:sz w:val="20"/>
                <w:szCs w:val="20"/>
              </w:rPr>
              <w:t xml:space="preserve">Всё содержимое этого раздела по России, Беларуси и Казахстану — рабочая гипотеза Valmark, а не установленный факт. Ни один тезис ниже не опирается на прямой массив региональных данных: карту производителей, реестр аккредитованных лабораторий, анализ конкретных тендеров, цены на панели/экраны/кабины, статистику импорта по товарным кодам или список объектов, реально прошедших WELL/LEED/BREEAM в регионе. Такие данные в открытом доступе не найдены. Раздел построен на косвенных индикаторах и логическом выводе, а не на измерении.</w:t>
            </w:r>
          </w:p>
        </w:tc>
      </w:tr>
    </w:tbl>
    <w:p>
      <w:pPr>
        <w:spacing w:after="140" w:line="300"/>
        <w:jc w:val="left"/>
      </w:pPr>
      <w:r>
        <w:rPr>
          <w:rFonts w:ascii="Aptos" w:cs="Aptos" w:eastAsia="Aptos" w:hAnsi="Aptos"/>
          <w:color w:val="1A1A1A"/>
          <w:sz w:val="21"/>
          <w:szCs w:val="21"/>
        </w:rPr>
        <w:t xml:space="preserve">Открытых консолидированных данных по рынку акустических решений отдельно для России, Беларуси и Казахстана не существует — ни один из проверенных источников не публикует региональную оценку этого узкого сегмента. Поэтому оценка строится на косвенных индикаторах: динамике ввода коммерческой недвижимости класса А (основной канал спецификации), присутствии международных сетей отелей и коворкингов (переносчиков стандарта WELL/LEED в регион), и объёме импорта готовых акустических изделий, который выступает прокси для неоцифрованного локального спроса.</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900"/>
        <w:gridCol w:w="2260"/>
        <w:gridCol w:w="1900"/>
        <w:gridCol w:w="1800"/>
      </w:tblGrid>
      <w:tr>
        <w:trPr>
          <w:cantSplit/>
          <w:tblHeader/>
        </w:trPr>
        <w:tc>
          <w:tcPr>
            <w:tcW w:type="dxa" w:w="15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Страна</w:t>
            </w:r>
          </w:p>
        </w:tc>
        <w:tc>
          <w:tcPr>
            <w:tcW w:type="dxa" w:w="1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Где спрос</w:t>
            </w:r>
          </w:p>
        </w:tc>
        <w:tc>
          <w:tcPr>
            <w:tcW w:type="dxa" w:w="22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Ограничитель</w:t>
            </w:r>
          </w:p>
        </w:tc>
        <w:tc>
          <w:tcPr>
            <w:tcW w:type="dxa" w:w="1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Рабочий формат</w:t>
            </w:r>
          </w:p>
        </w:tc>
        <w:tc>
          <w:tcPr>
            <w:tcW w:type="dxa" w:w="18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Кто может стать интегратором</w:t>
            </w:r>
          </w:p>
        </w:tc>
      </w:tr>
      <w:tr>
        <w:trPr>
          <w:cantSplit/>
        </w:trPr>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Россия</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Офисы класса А в Москве и Санкт-Петербурге, сети HoReCa, премиальное жильё</w:t>
            </w:r>
          </w:p>
        </w:tc>
        <w:tc>
          <w:tcPr>
            <w:tcW w:type="dxa" w:w="2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Слабая осведомлённость заказчика за пределами топ-10 городов; конкуренция с параллельным импортом западных брендов по цене</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PET-панели и мебельные экраны как входная точка, кабины — для зрелых заказчиков</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Мебельная фабрика с собственной линией резки/термопрессования ПЭТ, интегрированная с BIM-каталогом</w:t>
            </w:r>
          </w:p>
        </w:tc>
      </w:tr>
      <w:tr>
        <w:trPr>
          <w:cantSplit/>
        </w:trPr>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Беларусь</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Ограниченный, но растущий сегмент коммерческой недвижимости и HoReCa в Минске</w:t>
            </w:r>
          </w:p>
        </w:tc>
        <w:tc>
          <w:tcPr>
            <w:tcW w:type="dxa" w:w="2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Нормативная база по интерьерной акустике требует прямой проверки у Минстройархитектуры РБ — открытые данные ограничены (см. раздел 0)</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Локальная сборка под заказ, экспортный потенциал в РФ и страны ЕАЭС</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с сертификацией, признаваемой одновременно в РБ и РФ</w:t>
            </w:r>
          </w:p>
        </w:tc>
      </w:tr>
      <w:tr>
        <w:trPr>
          <w:cantSplit/>
        </w:trPr>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Казахстан и Центральная Азия</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Точечный спрос в Алматы и Астане, драйвер — новое строительство и международные операторы отелей</w:t>
            </w:r>
          </w:p>
        </w:tc>
        <w:tc>
          <w:tcPr>
            <w:tcW w:type="dxa" w:w="2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Минимальная база локальных производителей акустических решений; преимущественно импорт</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Дистрибуция готовых решений с последующей локализацией сборки</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Дистрибьютор-интегратор, способный предложить расчёт, а не только продажу изделия</w:t>
            </w:r>
          </w:p>
        </w:tc>
      </w:tr>
    </w:tbl>
    <w:p>
      <w:pPr>
        <w:spacing w:after="80"/>
      </w:pPr>
    </w:p>
    <w:p>
      <w:pPr>
        <w:spacing w:after="140" w:line="300"/>
        <w:jc w:val="left"/>
      </w:pPr>
      <w:r>
        <w:rPr>
          <w:rFonts w:ascii="Aptos" w:cs="Aptos" w:eastAsia="Aptos" w:hAnsi="Aptos"/>
          <w:color w:val="1A1A1A"/>
          <w:sz w:val="21"/>
          <w:szCs w:val="21"/>
        </w:rPr>
        <w:t xml:space="preserve">Точка входа (рабочая гипотеза, требующая проверки на тендерных данных — раздел 18): доступные косвенные признаки указывают на то, что спрос в СНГ может опережать предложение локальных сертифицированных решений в сегменте офисов класса А и сетевого HoReCa — но это не означает лёгкий вход, поскольку международные бренды закрывают часть этого спроса через параллельный импорт. Вероятное окно возможности — не конкуренция с брендом по эстетике, а конкуренция по срокам поставки и локальной сертификации, которую импортный товар физически не может дать так же быстро.</w:t>
      </w:r>
    </w:p>
    <w:p>
      <w:pPr>
        <w:pStyle w:val="Heading1"/>
        <w:pageBreakBefore/>
        <w:spacing w:after="160" w:before="240"/>
      </w:pPr>
      <w:r>
        <w:rPr>
          <w:rFonts w:ascii="Aptos" w:cs="Aptos" w:eastAsia="Aptos" w:hAnsi="Aptos"/>
          <w:b/>
          <w:bCs/>
          <w:color w:val="2B1D14"/>
          <w:sz w:val="30"/>
          <w:szCs w:val="30"/>
        </w:rPr>
        <w:t xml:space="preserve">Раздел 7. Слом старой модели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2400"/>
        <w:gridCol w:w="2100"/>
        <w:gridCol w:w="2760"/>
      </w:tblGrid>
      <w:tr>
        <w:trPr>
          <w:cantSplit/>
          <w:tblHeader/>
        </w:trPr>
        <w:tc>
          <w:tcPr>
            <w:tcW w:type="dxa" w:w="21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Старая модель</w:t>
            </w:r>
          </w:p>
        </w:tc>
        <w:tc>
          <w:tcPr>
            <w:tcW w:type="dxa" w:w="24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Почему ломается</w:t>
            </w:r>
          </w:p>
        </w:tc>
        <w:tc>
          <w:tcPr>
            <w:tcW w:type="dxa" w:w="21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Кто теряет</w:t>
            </w:r>
          </w:p>
        </w:tc>
        <w:tc>
          <w:tcPr>
            <w:tcW w:type="dxa" w:w="27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приходит на смену</w:t>
            </w:r>
          </w:p>
        </w:tc>
      </w:tr>
      <w:tr>
        <w:trPr>
          <w:cantSplit/>
        </w:trPr>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Акустика — декоративная надстройка, покупается «на глаз» после сдачи объекта</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Сертификационные стандарты требуют расчёта на этапе проектирования, а не постфактум</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Розничные продавцы декоративных панелей без инженерной поддержки</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Расчёт на этапе BIM-модели с последующим подбором сертифицированного продукта</w:t>
            </w:r>
          </w:p>
        </w:tc>
      </w:tr>
      <w:tr>
        <w:trPr>
          <w:cantSplit/>
        </w:trPr>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Поставщик продаёт материал по образцу и внешнему виду</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Спецификатор крупного объекта требует протокол испытаний (NRC/αw, класс пожарной опасности), а не образец</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Локальные мастерские без доступа к аккредитованной лаборатории</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Поставщик, продающий пакет «продукт + протокол + инсталляция»</w:t>
            </w:r>
          </w:p>
        </w:tc>
      </w:tr>
      <w:tr>
        <w:trPr>
          <w:cantSplit/>
        </w:trPr>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Одно решение (панель) закрывает всю проблему помещения</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Реальная акустическая проблема требует сочетания поглощения, изоляции и мебельной геометрии одновременно</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Однопродуктовые производители без консультационной компетенции</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Комплексные системные решения от одного интегратора или консорциума партнёров</w:t>
            </w:r>
          </w:p>
        </w:tc>
      </w:tr>
      <w:tr>
        <w:trPr>
          <w:cantSplit/>
        </w:trPr>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Импорт готовых западных систем как единственный источник качества</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Удорожание логистики и локализация спроса создают ценовое окно для местного производства при сопоставимом качестве</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Дистрибьюторы, зависящие исключительно от одного зарубежного бренда</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Локальные производители с собственной сертификацией, встроенные в международные протоколы испытаний</w:t>
            </w:r>
          </w:p>
        </w:tc>
      </w:tr>
    </w:tbl>
    <w:p>
      <w:pPr>
        <w:pStyle w:val="Heading1"/>
        <w:pageBreakBefore/>
        <w:spacing w:after="160" w:before="240"/>
      </w:pPr>
      <w:r>
        <w:rPr>
          <w:rFonts w:ascii="Aptos" w:cs="Aptos" w:eastAsia="Aptos" w:hAnsi="Aptos"/>
          <w:b/>
          <w:bCs/>
          <w:color w:val="2B1D14"/>
          <w:sz w:val="30"/>
          <w:szCs w:val="30"/>
        </w:rPr>
        <w:t xml:space="preserve">Раздел 8. Технологическая карта</w:t>
      </w:r>
    </w:p>
    <w:p>
      <w:pPr>
        <w:spacing w:after="140" w:line="300"/>
        <w:jc w:val="left"/>
      </w:pPr>
      <w:r>
        <w:rPr>
          <w:rFonts w:ascii="Aptos" w:cs="Aptos" w:eastAsia="Aptos" w:hAnsi="Aptos"/>
          <w:color w:val="1A1A1A"/>
          <w:sz w:val="21"/>
          <w:szCs w:val="21"/>
        </w:rPr>
        <w:t xml:space="preserve">Ниже — не каталог брендов, а сравнение технологических платформ по принципу действия, эффективности и перспективе локализации в СНГ. Указанные значения NRC/αw — типовые диапазоны по опубликованным техническим паспортам, а не гарантированные характеристики конкретного изделия: итоговый показатель зависит от толщины, плотности, воздушного зазора и способа монтажа (см. раздел 9).</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200"/>
        <w:gridCol w:w="2200"/>
        <w:gridCol w:w="1960"/>
      </w:tblGrid>
      <w:tr>
        <w:trPr>
          <w:cantSplit/>
          <w:tblHeader/>
        </w:trPr>
        <w:tc>
          <w:tcPr>
            <w:tcW w:type="dxa" w:w="20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Решение</w:t>
            </w:r>
          </w:p>
        </w:tc>
        <w:tc>
          <w:tcPr>
            <w:tcW w:type="dxa" w:w="32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Принцип действия и эффективность</w:t>
            </w:r>
          </w:p>
        </w:tc>
        <w:tc>
          <w:tcPr>
            <w:tcW w:type="dxa" w:w="22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Ограничения</w:t>
            </w:r>
          </w:p>
        </w:tc>
        <w:tc>
          <w:tcPr>
            <w:tcW w:type="dxa" w:w="19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Локализация в СНГ</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PET-войлочные панели</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Пористая структура переработанного полиэстера; NRC ориентировочно 0,65–0,95 в зависимости от толщины (8–45 мм) и воздушного зазора; класс пожарной опасности обычно B-s1,d0 по Euroclass</w:t>
            </w:r>
          </w:p>
        </w:tc>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Эффективность заметно падает при монтаже впритык к стене без зазора; тонкие панели (менее 12 мм) плохо работают на низких частотах</w:t>
            </w:r>
          </w:p>
        </w:tc>
        <w:tc>
          <w:tcPr>
            <w:tcW w:type="dxa" w:w="1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сырьё (переработанный ПЭТ), термопрессование и резка доступны локально, оборудование некапиталоёмкое</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Минеральная вата / стекловолокно (потолочные облака, баффлы)</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Волокнистая структура с высокой пористостью; класс A по ISO 11654, NRC до 1,0; пожаробезопасность на уровне Euroclass A2</w:t>
            </w:r>
          </w:p>
        </w:tc>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Волокнистая пыль требует защитной оболочки в открытых системах; вес выше, чем у ПЭТ-аналогов</w:t>
            </w:r>
          </w:p>
        </w:tc>
        <w:tc>
          <w:tcPr>
            <w:tcW w:type="dxa" w:w="1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сырьевая база в РФ есть, но сертификация и бренд-репутация принадлежат западным игрокам (Ecophon, Rockfon, Armstrong)</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Древесное волокно / пробка</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Натуральные пористые материалы, среднее звукопоглощение (NRC 0,4–0,7), сильная сторона — экологичность и вид</w:t>
            </w:r>
          </w:p>
        </w:tc>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Ниже акустическая эффективность на средних частотах по сравнению с ПЭТ и минватой; выше стоимость сырья при импорте пробки</w:t>
            </w:r>
          </w:p>
        </w:tc>
        <w:tc>
          <w:tcPr>
            <w:tcW w:type="dxa" w:w="1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древесное волокно локализуемо, пробка преимущественно импортная</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Реечные и перфорированные системы</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Декоративный экран (дерево, МДФ, металл) с акустической подложкой за ним; акустика определяется подложкой, а не самой рейкой</w:t>
            </w:r>
          </w:p>
        </w:tc>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Частая маркетинговая ошибка — продажа рейки как «акустического решения» без указания подложки и её NRC</w:t>
            </w:r>
          </w:p>
        </w:tc>
        <w:tc>
          <w:tcPr>
            <w:tcW w:type="dxa" w:w="1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сборочное производство типового мебельного профиля</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Акустические перегородки и мебельные экраны</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Комбинация звукопоглощающей вставки и несущего каркаса; работают локально, на индивидуальное рабочее место; звукопоглощение экрана как одиночного объекта оценивается по ISO 20189:2018, а не по ISO 23351-1 (тот относится только к замкнутым кабинам и ансамблям)</w:t>
            </w:r>
          </w:p>
        </w:tc>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решают проблему помещения в целом, только зону вокруг рабочего места</w:t>
            </w:r>
          </w:p>
        </w:tc>
        <w:tc>
          <w:tcPr>
            <w:tcW w:type="dxa" w:w="1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прямое расширение ассортимента для мебельной фабрики</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Диваны и кресла с высокими спинками</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Мягкие поверхности большой площади снижают реверберацию за счёт поглощения, плюс визуальное и физическое разделение зоны</w:t>
            </w:r>
          </w:p>
        </w:tc>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Эффект заметно ниже специализированной панели в пересчёте на м² поверхности; часто переоценивается в маркетинге</w:t>
            </w:r>
          </w:p>
        </w:tc>
        <w:tc>
          <w:tcPr>
            <w:tcW w:type="dxa" w:w="1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расширение существующих линеек мебельных фабрик без новых компетенций</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Office pods / телефонные кабины</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Замкнутая мебельная конструкция с многослойными стенками; измеряется речевое снижение DS,A по ISO 23351-1:2020 (классы A+/A/B/C/D — по данным независимых межлабораторных испытаний, для будок типовое значение DS,A порядка 27–30 дБ, для полуоткрытых рабочих станций — порядка 4–6 дБ). Это НЕ показатель Rw/STC и не время реверберации — стандарт их не определяет</w:t>
            </w:r>
          </w:p>
        </w:tc>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капиталоёмкость производства (вентиляция, электрика, многослойные стеновые панели); долгий цикл разработки прототипа; отдельно нужно закрывать вентиляцию и электробезопасность — акустика не единственный барьер сертификации</w:t>
            </w:r>
          </w:p>
        </w:tc>
        <w:tc>
          <w:tcPr>
            <w:tcW w:type="dxa" w:w="19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на старте — требует существенных инвестиций и сертификации по нескольким дисциплинам одновременно</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Модульные переговорные и акустические светильники</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Сборные конструкции с интегрированной акустической подложкой в стенах/потолке; светильники — акустический слой, встроенный в осветительный прибор</w:t>
            </w:r>
          </w:p>
        </w:tc>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Нишевой сегмент с высокой степенью кастомизации под конкретный интерьер</w:t>
            </w:r>
          </w:p>
        </w:tc>
        <w:tc>
          <w:tcPr>
            <w:tcW w:type="dxa" w:w="19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требует партнёрства со световым или мебельным производителем</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инференция Valmark</w:t>
            </w:r>
          </w:p>
          <w:p>
            <w:pPr>
              <w:spacing w:after="0" w:line="280"/>
            </w:pPr>
            <w:r>
              <w:rPr>
                <w:rFonts w:ascii="Aptos" w:cs="Aptos" w:eastAsia="Aptos" w:hAnsi="Aptos"/>
                <w:color w:val="1A1A1A"/>
                <w:sz w:val="20"/>
                <w:szCs w:val="20"/>
              </w:rPr>
              <w:t xml:space="preserve">Для мебельной фабрики в СНГ наиболее реалистичная последовательность входа — не office pods (высокий порог капитала и сертификации), а связка «ПЭТ-панели → мебельные экраны → перегородки» с постепенным движением к кабинам после того, как наработана репутация подтверждённого протокола испытаний.</w:t>
            </w:r>
          </w:p>
        </w:tc>
      </w:tr>
    </w:tbl>
    <w:p>
      <w:pPr>
        <w:pStyle w:val="Heading1"/>
        <w:pageBreakBefore/>
        <w:spacing w:after="160" w:before="240"/>
      </w:pPr>
      <w:r>
        <w:rPr>
          <w:rFonts w:ascii="Aptos" w:cs="Aptos" w:eastAsia="Aptos" w:hAnsi="Aptos"/>
          <w:b/>
          <w:bCs/>
          <w:color w:val="2B1D14"/>
          <w:sz w:val="30"/>
          <w:szCs w:val="30"/>
        </w:rPr>
        <w:t xml:space="preserve">Раздел 9. Реальная эффективность против маркетинга</w:t>
      </w:r>
    </w:p>
    <w:p>
      <w:pPr>
        <w:spacing w:after="140" w:line="300"/>
        <w:jc w:val="left"/>
      </w:pPr>
      <w:r>
        <w:rPr>
          <w:rFonts w:ascii="Aptos" w:cs="Aptos" w:eastAsia="Aptos" w:hAnsi="Aptos"/>
          <w:color w:val="1A1A1A"/>
          <w:sz w:val="21"/>
          <w:szCs w:val="21"/>
        </w:rPr>
        <w:t xml:space="preserve">Отличить работающий акустический продукт от декоративного изделия с недоказанными свойствами можно по семи проверяемым признакам — это чек-лист, а не гарантия, но он снимает большинство спекулятивных заявлений.</w:t>
      </w:r>
    </w:p>
    <w:p>
      <w:pPr>
        <w:pStyle w:val="ListParagraph"/>
        <w:numPr>
          <w:ilvl w:val="0"/>
          <w:numId w:val="2"/>
        </w:numPr>
        <w:spacing w:after="100" w:line="290"/>
      </w:pPr>
      <w:r>
        <w:rPr>
          <w:rFonts w:ascii="Aptos" w:cs="Aptos" w:eastAsia="Aptos" w:hAnsi="Aptos"/>
          <w:b/>
          <w:bCs/>
          <w:color w:val="1A1A1A"/>
          <w:sz w:val="21"/>
          <w:szCs w:val="21"/>
        </w:rPr>
        <w:t xml:space="preserve">Протокол испытаний. </w:t>
      </w:r>
      <w:r>
        <w:rPr>
          <w:rFonts w:ascii="Aptos" w:cs="Aptos" w:eastAsia="Aptos" w:hAnsi="Aptos"/>
          <w:color w:val="1A1A1A"/>
          <w:sz w:val="21"/>
          <w:szCs w:val="21"/>
        </w:rPr>
        <w:t xml:space="preserve">Есть ли независимый отчёт лаборатории по ISO 354 / ASTM C423 для конкретной толщины и монтажа, а не «типовое значение по каталогу».</w:t>
      </w:r>
    </w:p>
    <w:p>
      <w:pPr>
        <w:pStyle w:val="ListParagraph"/>
        <w:numPr>
          <w:ilvl w:val="0"/>
          <w:numId w:val="2"/>
        </w:numPr>
        <w:spacing w:after="100" w:line="290"/>
      </w:pPr>
      <w:r>
        <w:rPr>
          <w:rFonts w:ascii="Aptos" w:cs="Aptos" w:eastAsia="Aptos" w:hAnsi="Aptos"/>
          <w:b/>
          <w:bCs/>
          <w:color w:val="1A1A1A"/>
          <w:sz w:val="21"/>
          <w:szCs w:val="21"/>
        </w:rPr>
        <w:t xml:space="preserve">Условия монтажа в отчёте. </w:t>
      </w:r>
      <w:r>
        <w:rPr>
          <w:rFonts w:ascii="Aptos" w:cs="Aptos" w:eastAsia="Aptos" w:hAnsi="Aptos"/>
          <w:color w:val="1A1A1A"/>
          <w:sz w:val="21"/>
          <w:szCs w:val="21"/>
        </w:rPr>
        <w:t xml:space="preserve">Указан ли воздушный зазор — при монтаже впритык к стене реальный NRC может быть вдвое ниже заявленного в паспорте на «оптимальный» монтаж.</w:t>
      </w:r>
    </w:p>
    <w:p>
      <w:pPr>
        <w:pStyle w:val="ListParagraph"/>
        <w:numPr>
          <w:ilvl w:val="0"/>
          <w:numId w:val="2"/>
        </w:numPr>
        <w:spacing w:after="100" w:line="290"/>
      </w:pPr>
      <w:r>
        <w:rPr>
          <w:rFonts w:ascii="Aptos" w:cs="Aptos" w:eastAsia="Aptos" w:hAnsi="Aptos"/>
          <w:b/>
          <w:bCs/>
          <w:color w:val="1A1A1A"/>
          <w:sz w:val="21"/>
          <w:szCs w:val="21"/>
        </w:rPr>
        <w:t xml:space="preserve">Площадь покрытия в проекте. </w:t>
      </w:r>
      <w:r>
        <w:rPr>
          <w:rFonts w:ascii="Aptos" w:cs="Aptos" w:eastAsia="Aptos" w:hAnsi="Aptos"/>
          <w:color w:val="1A1A1A"/>
          <w:sz w:val="21"/>
          <w:szCs w:val="21"/>
        </w:rPr>
        <w:t xml:space="preserve">Продавец предлагает площадь панелей, рассчитанную по формуле Сабина под конкретный объём помещения, или произвольное «на глаз» количество.</w:t>
      </w:r>
    </w:p>
    <w:p>
      <w:pPr>
        <w:pStyle w:val="ListParagraph"/>
        <w:numPr>
          <w:ilvl w:val="0"/>
          <w:numId w:val="2"/>
        </w:numPr>
        <w:spacing w:after="100" w:line="290"/>
      </w:pPr>
      <w:r>
        <w:rPr>
          <w:rFonts w:ascii="Aptos" w:cs="Aptos" w:eastAsia="Aptos" w:hAnsi="Aptos"/>
          <w:b/>
          <w:bCs/>
          <w:color w:val="1A1A1A"/>
          <w:sz w:val="21"/>
          <w:szCs w:val="21"/>
        </w:rPr>
        <w:t xml:space="preserve">Частотная характеристика, а не одно число. </w:t>
      </w:r>
      <w:r>
        <w:rPr>
          <w:rFonts w:ascii="Aptos" w:cs="Aptos" w:eastAsia="Aptos" w:hAnsi="Aptos"/>
          <w:color w:val="1A1A1A"/>
          <w:sz w:val="21"/>
          <w:szCs w:val="21"/>
        </w:rPr>
        <w:t xml:space="preserve">NRC — это усреднение по нескольким частотам; продукт может отлично работать на средних частотах и не работать на низких (бас, гул HVAC) — полный график по третьоктавным полосам говорит больше одного среднего числа.</w:t>
      </w:r>
    </w:p>
    <w:p>
      <w:pPr>
        <w:pStyle w:val="ListParagraph"/>
        <w:numPr>
          <w:ilvl w:val="0"/>
          <w:numId w:val="2"/>
        </w:numPr>
        <w:spacing w:after="100" w:line="290"/>
      </w:pPr>
      <w:r>
        <w:rPr>
          <w:rFonts w:ascii="Aptos" w:cs="Aptos" w:eastAsia="Aptos" w:hAnsi="Aptos"/>
          <w:b/>
          <w:bCs/>
          <w:color w:val="1A1A1A"/>
          <w:sz w:val="21"/>
          <w:szCs w:val="21"/>
        </w:rPr>
        <w:t xml:space="preserve">Пожарный сертификат. </w:t>
      </w:r>
      <w:r>
        <w:rPr>
          <w:rFonts w:ascii="Aptos" w:cs="Aptos" w:eastAsia="Aptos" w:hAnsi="Aptos"/>
          <w:color w:val="1A1A1A"/>
          <w:sz w:val="21"/>
          <w:szCs w:val="21"/>
        </w:rPr>
        <w:t xml:space="preserve">Класс по Euroclass или ГОСТ 30244, а не общая формулировка «огнестойкий материал» без номера протокола.</w:t>
      </w:r>
    </w:p>
    <w:p>
      <w:pPr>
        <w:pStyle w:val="ListParagraph"/>
        <w:numPr>
          <w:ilvl w:val="0"/>
          <w:numId w:val="2"/>
        </w:numPr>
        <w:spacing w:after="100" w:line="290"/>
      </w:pPr>
      <w:r>
        <w:rPr>
          <w:rFonts w:ascii="Aptos" w:cs="Aptos" w:eastAsia="Aptos" w:hAnsi="Aptos"/>
          <w:b/>
          <w:bCs/>
          <w:color w:val="1A1A1A"/>
          <w:sz w:val="21"/>
          <w:szCs w:val="21"/>
        </w:rPr>
        <w:t xml:space="preserve">Экологические заявления с подтверждением. </w:t>
      </w:r>
      <w:r>
        <w:rPr>
          <w:rFonts w:ascii="Aptos" w:cs="Aptos" w:eastAsia="Aptos" w:hAnsi="Aptos"/>
          <w:color w:val="1A1A1A"/>
          <w:sz w:val="21"/>
          <w:szCs w:val="21"/>
        </w:rPr>
        <w:t xml:space="preserve">Наличие EPD (экологической декларации продукта) или отдельного отчёта о переработанном содержании, а не только слово «эко» на упаковке.</w:t>
      </w:r>
    </w:p>
    <w:p>
      <w:pPr>
        <w:pStyle w:val="ListParagraph"/>
        <w:numPr>
          <w:ilvl w:val="0"/>
          <w:numId w:val="2"/>
        </w:numPr>
        <w:spacing w:after="100" w:line="290"/>
      </w:pPr>
      <w:r>
        <w:rPr>
          <w:rFonts w:ascii="Aptos" w:cs="Aptos" w:eastAsia="Aptos" w:hAnsi="Aptos"/>
          <w:b/>
          <w:bCs/>
          <w:color w:val="1A1A1A"/>
          <w:sz w:val="21"/>
          <w:szCs w:val="21"/>
        </w:rPr>
        <w:t xml:space="preserve">Готовое изделие, а не только материал. </w:t>
      </w:r>
      <w:r>
        <w:rPr>
          <w:rFonts w:ascii="Aptos" w:cs="Aptos" w:eastAsia="Aptos" w:hAnsi="Aptos"/>
          <w:color w:val="1A1A1A"/>
          <w:sz w:val="21"/>
          <w:szCs w:val="21"/>
        </w:rPr>
        <w:t xml:space="preserve">Протокол должен быть выдан на изделие целиком (панель с креплением), а не на сырьё — характеристики после раскроя и монтажа могут отличаться от лабораторного образца материала.</w:t>
      </w:r>
    </w:p>
    <w:p>
      <w:pPr>
        <w:pStyle w:val="Heading1"/>
        <w:pageBreakBefore/>
        <w:spacing w:after="160" w:before="240"/>
      </w:pPr>
      <w:r>
        <w:rPr>
          <w:rFonts w:ascii="Aptos" w:cs="Aptos" w:eastAsia="Aptos" w:hAnsi="Aptos"/>
          <w:b/>
          <w:bCs/>
          <w:color w:val="2B1D14"/>
          <w:sz w:val="30"/>
          <w:szCs w:val="30"/>
        </w:rPr>
        <w:t xml:space="preserve">Раздел 10. Нормативная среда</w:t>
      </w:r>
    </w:p>
    <w:p>
      <w:pPr>
        <w:spacing w:after="140" w:line="300"/>
        <w:jc w:val="left"/>
      </w:pPr>
      <w:r>
        <w:rPr>
          <w:rFonts w:ascii="Aptos" w:cs="Aptos" w:eastAsia="Aptos" w:hAnsi="Aptos"/>
          <w:color w:val="1A1A1A"/>
          <w:sz w:val="21"/>
          <w:szCs w:val="21"/>
        </w:rPr>
        <w:t xml:space="preserve">Нормативы в этой отрасли — не бюрократический фон, а прямой фильтр допуска на рынок. Разница между «обязательно» и «добровольно» определяет, кто вообще может участвовать в тендере на объект определённого класса.</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3200"/>
        <w:gridCol w:w="2760"/>
      </w:tblGrid>
      <w:tr>
        <w:trPr>
          <w:cantSplit/>
          <w:tblHeader/>
        </w:trPr>
        <w:tc>
          <w:tcPr>
            <w:tcW w:type="dxa" w:w="1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Документ</w:t>
            </w:r>
          </w:p>
        </w:tc>
        <w:tc>
          <w:tcPr>
            <w:tcW w:type="dxa" w:w="15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Статус</w:t>
            </w:r>
          </w:p>
        </w:tc>
        <w:tc>
          <w:tcPr>
            <w:tcW w:type="dxa" w:w="32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регулирует</w:t>
            </w:r>
          </w:p>
        </w:tc>
        <w:tc>
          <w:tcPr>
            <w:tcW w:type="dxa" w:w="27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Где становится барьером входа</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354</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Международный стандарт измерения; лежит в основе последующей классификации по ISO 11654 (αw) и — в близкой, но отдельной американской методике — по ASTM C423 (NRC/SAA)</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Метод измерения звукопоглощения в реверберационной камере</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Без измерения по этому стандарту (или по ASTM C423 для рынков, ориентированных на США) продукт не принимается спецификаторами объектов класса А</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11654 / EN ISO 11654</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Классификация звукопоглощения по классам A–E (αw)</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Требование «класс A» в тендерной документации отсекает продукцию без сертификата</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3382-1/2/3</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Измерение времени реверберации и других параметров помещения; часть 2 — обычные помещения, часть 3 — открытые офисы</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База для приёмки объекта после монтажа — без неё нельзя подтвердить результат</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22955:2021</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(издание 2021 года)</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Техническое руководство по акустическому качеству открытых офисов — 6 типовых сценариев по виду деятельности; задаёт рамку диалога между заказчиком, архитектором и акустиком, а не единственный целевой RT60 для всех офисов</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Всё чаще запрашивается в тендерной документации на fit-out открытых офисных пространств, где общий норматив по типу здания не даёт достаточной детализации</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717-1 / ASTM E413 (STC)</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Индекс изоляции воздушного шума конструкций (Rw / STC)</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Обязателен для межквартирных и межкомнатных перегородок в жилых и гостиничных проектах</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C423</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(США), фактически международный ориентир</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Определение NRC в реверберационной камере</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де-факто для рынков, ориентированных на американские протоколы (гостиничные сети, IT-кампусы)</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23351-1:2020</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относительно новый</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Речевое снижение (DS,A) office pods, будок и частично закрытых мебельных ансамблей — впервые дал единую методику именно для этой узкой задачи. НЕ определяет Rw/STC и не измеряет время реверберации; прямо исключает отдельные экраны, шкафы, светильники и настенные/потолочные поглотители из области применения — для них действует ISO 20189:2018</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 2020 года производители pods использовали несопоставимые внутренние методики; теперь тендер может требовать соответствия конкретному классу DS,A</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20189:2018</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(подтверждён к применению в редакции 2024 года)</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Рейтинг звукопоглощения и звукоослабления экранов, мебели и одиночных объектов интерьера — определяет, когда объект оценивать как плоский поглотитель, а когда как дискретный одиночный объект (измерение по ISO 354)</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Профильный стандарт именно для мебели и экранов — часто пропускается поставщиками, которые вместо него ошибочно ссылаются на ISO 23351-1</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IEC 60268-16</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Действующая редакция 2020 года</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Речевая разборчивость (STI)</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Обязателен для систем оповещения и объектов с высокими требованиями к разборчивости (вокзалы, учебные аудитории)</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WELL v2 (концепция Sound, S01–S06)</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добровольная сертификация</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S01 (Sound Mapping) — обязательная прекондиция; S02–S06 — факультативные оптимизации (уровень фонового шума, звукоизолирующие перегородки, время реверберации, звукопоглощающие поверхности, минимальный фоновый шум)</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Становится требованием корпоративного заказчика (арендатора) к девелоперу для проектов, которые сами проходят WELL-сертификацию, — не универсальным требованием к любому зданию</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LEED v4 / v4.1 BD+C</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добровольная сертификация</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Отдельный кредит Acoustic Performance: требования к STC, времени реверберации, фоновому шуму</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Даёт баллы к сертификации — на конкурентных рынках коммерческой недвижимости отсутствие акустического пакета снижает шанс получить целевой уровень (Gold/Platinum)</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BREEAM International New Construction</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Действующий, добровольная сертификация</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Кредиты HEA 05/06 — акустический комфорт и рабочая среда</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Используется в связке с WELL/LEED как ESG-требование инвестора, особенно в европейских портфелях недвижимости</w:t>
            </w:r>
          </w:p>
        </w:tc>
      </w:tr>
      <w:tr>
        <w:trPr>
          <w:cantSplit/>
        </w:trPr>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СП 51.13330.2011 (с изм. № 4, действует с 13.01.2024)</w:t>
            </w:r>
          </w:p>
        </w:tc>
        <w:tc>
          <w:tcPr>
            <w:tcW w:type="dxa" w:w="1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Ключевой нормативный документ по защите от шума в РФ; применимость определяется реестром требований</w:t>
            </w:r>
          </w:p>
        </w:tc>
        <w:tc>
          <w:tcPr>
            <w:tcW w:type="dxa" w:w="3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Допустимые уровни шума и параметры акустики жилых и общественных зданий; изменение № 4 расширило ссылки на ГОСТ 31704-2011 (аналог ISO 354) и ГОСТ ISO 9612-2016</w:t>
            </w:r>
          </w:p>
        </w:tc>
        <w:tc>
          <w:tcPr>
            <w:tcW w:type="dxa" w:w="27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 01.09.2024 прежний универсальный обязательный перечень стандартов и СП (постановление № 815) отменён постановлением Правительства РФ № 589 от 06.05.2024; конкретные требования применяются со дня включения в реестр требований на портале «Стройкомплекс.РФ», а также определяются заданием на проектирование и принятой нормативной базой конкретного проекта</w:t>
            </w:r>
          </w:p>
        </w:tc>
      </w:tr>
      <w:tr>
        <w:trPr>
          <w:cantSplit/>
        </w:trPr>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Нормы Республики Беларусь</w:t>
            </w:r>
          </w:p>
        </w:tc>
        <w:tc>
          <w:tcPr>
            <w:tcW w:type="dxa" w:w="1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Требует прямой проверки у Минстройархитектуры РБ</w:t>
            </w:r>
          </w:p>
        </w:tc>
        <w:tc>
          <w:tcPr>
            <w:tcW w:type="dxa" w:w="3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Ожидаемая гармонизация с российской нормативной базой в рамках ЕАЭС</w:t>
            </w:r>
          </w:p>
        </w:tc>
        <w:tc>
          <w:tcPr>
            <w:tcW w:type="dxa" w:w="27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Открытые источники не дают уверенности в актуальном перечне действующих ТКП/СТБ — риск для экспортного проекта, если полагаться только на аналогию с РФ</w:t>
            </w:r>
          </w:p>
        </w:tc>
      </w:tr>
    </w:tbl>
    <w:p>
      <w:pPr>
        <w:spacing w:after="80"/>
      </w:pPr>
    </w:p>
    <w:p>
      <w:pPr>
        <w:spacing w:after="140" w:line="300"/>
        <w:jc w:val="left"/>
      </w:pPr>
      <w:r>
        <w:rPr>
          <w:rFonts w:ascii="Aptos" w:cs="Aptos" w:eastAsia="Aptos" w:hAnsi="Aptos"/>
          <w:color w:val="1A1A1A"/>
          <w:sz w:val="21"/>
          <w:szCs w:val="21"/>
        </w:rPr>
        <w:t xml:space="preserve">Практический вывод: СП и аналогичные документы в других юрисдикциях остаются ключевым техническим ориентиром, но с 01.09.2024 в России их применимость к конкретному объекту определяется не универсальным обязательным перечнем, а реестром требований, заданием на проектирование и нормативной базой, зафиксированной в проектной документации — это снижает автоматизм формулировки «СП обязателен для любого здания» и требует проверки для каждого конкретного проекта. Добровольные стандарты (WELL, LEED, BREEAM) не обязательны юридически, но всё чаще обязательны коммерчески — крупный арендатор или инвестор попросту не подпишет договор без них. Для поставщика акустики это означает, что нормативное соответствие — необходимое, но не универсально достаточное условие доступа к объектам класса А, и конкретный набор требований нужно уточнять по каждому проекту отдельно.</w:t>
      </w:r>
    </w:p>
    <w:p>
      <w:pPr>
        <w:pStyle w:val="Heading1"/>
        <w:pageBreakBefore/>
        <w:spacing w:after="160" w:before="240"/>
      </w:pPr>
      <w:r>
        <w:rPr>
          <w:rFonts w:ascii="Aptos" w:cs="Aptos" w:eastAsia="Aptos" w:hAnsi="Aptos"/>
          <w:b/>
          <w:bCs/>
          <w:color w:val="2B1D14"/>
          <w:sz w:val="30"/>
          <w:szCs w:val="30"/>
        </w:rPr>
        <w:t xml:space="preserve">Раздел 11. Цепочка создания стоимости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50"/>
        <w:gridCol w:w="2700"/>
        <w:gridCol w:w="1550"/>
        <w:gridCol w:w="1650"/>
        <w:gridCol w:w="1710"/>
      </w:tblGrid>
      <w:tr>
        <w:trPr>
          <w:cantSplit/>
          <w:tblHeader/>
        </w:trPr>
        <w:tc>
          <w:tcPr>
            <w:tcW w:type="dxa" w:w="17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Звено</w:t>
            </w:r>
          </w:p>
        </w:tc>
        <w:tc>
          <w:tcPr>
            <w:tcW w:type="dxa" w:w="27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Содержание</w:t>
            </w:r>
          </w:p>
        </w:tc>
        <w:tc>
          <w:tcPr>
            <w:tcW w:type="dxa" w:w="15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Уровень маржи</w:t>
            </w:r>
          </w:p>
        </w:tc>
        <w:tc>
          <w:tcPr>
            <w:tcW w:type="dxa" w:w="16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Барьер входа</w:t>
            </w:r>
          </w:p>
        </w:tc>
        <w:tc>
          <w:tcPr>
            <w:tcW w:type="dxa" w:w="171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Возможность масштабирования</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Сырьё</w:t>
            </w:r>
          </w:p>
        </w:tc>
        <w:tc>
          <w:tcPr>
            <w:tcW w:type="dxa" w:w="2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Переработанный ПЭТ, минеральное волокно, древесное волокно</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сырьё коммодитизировано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w:t>
            </w:r>
          </w:p>
        </w:tc>
        <w:tc>
          <w:tcPr>
            <w:tcW w:type="dxa" w:w="17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глобальный рынок сырья</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Производство наполнителя/материала</w:t>
            </w:r>
          </w:p>
        </w:tc>
        <w:tc>
          <w:tcPr>
            <w:tcW w:type="dxa" w:w="2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Термопрессование, формование волокна</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зависит от плотности и однородности</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 оборудование и know-how по рецептуре</w:t>
            </w:r>
          </w:p>
        </w:tc>
        <w:tc>
          <w:tcPr>
            <w:tcW w:type="dxa" w:w="17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Изготовление изделия</w:t>
            </w:r>
          </w:p>
        </w:tc>
        <w:tc>
          <w:tcPr>
            <w:tcW w:type="dxa" w:w="2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Раскрой, перфорация, окантовка, крепёж</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Низкий–средний</w:t>
            </w:r>
          </w:p>
        </w:tc>
        <w:tc>
          <w:tcPr>
            <w:tcW w:type="dxa" w:w="17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легко тиражируется локально</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Испытания и сертификация</w:t>
            </w:r>
          </w:p>
        </w:tc>
        <w:tc>
          <w:tcPr>
            <w:tcW w:type="dxa" w:w="2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Протокол NRC/αw, пожарный класс, EPD</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платится за доверие, а не за материал</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 аккредитация лаборатории, репутация</w:t>
            </w:r>
          </w:p>
        </w:tc>
        <w:tc>
          <w:tcPr>
            <w:tcW w:type="dxa" w:w="17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количество аккредитованных лабораторий ограничено</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Акустическое проектирование</w:t>
            </w:r>
          </w:p>
        </w:tc>
        <w:tc>
          <w:tcPr>
            <w:tcW w:type="dxa" w:w="2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Расчёт RT60, подбор площади покрытия, частотный анализ</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интеллектуальная услуга</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 квалификация консультанта</w:t>
            </w:r>
          </w:p>
        </w:tc>
        <w:tc>
          <w:tcPr>
            <w:tcW w:type="dxa" w:w="17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дефицит квалифицированных кадров в СНГ</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Архитектурная спецификация</w:t>
            </w:r>
          </w:p>
        </w:tc>
        <w:tc>
          <w:tcPr>
            <w:tcW w:type="dxa" w:w="2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Внесение продукта в проектную документацию и BIM-модель</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определяет, кто вообще получит заказ</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 доверие архитектора/бюро</w:t>
            </w:r>
          </w:p>
        </w:tc>
        <w:tc>
          <w:tcPr>
            <w:tcW w:type="dxa" w:w="17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концентрировано в узком круге бюро</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Мебельное производство</w:t>
            </w:r>
          </w:p>
        </w:tc>
        <w:tc>
          <w:tcPr>
            <w:tcW w:type="dxa" w:w="2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Интеграция акустики в мебель (экраны, кабины, перегородки)</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c>
          <w:tcPr>
            <w:tcW w:type="dxa" w:w="17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много игроков способны нарастить это направление</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Комплектация и монтаж</w:t>
            </w:r>
          </w:p>
        </w:tc>
        <w:tc>
          <w:tcPr>
            <w:tcW w:type="dxa" w:w="2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Логистика, установка на объекте</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Низкая–средняя</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w:t>
            </w:r>
          </w:p>
        </w:tc>
        <w:tc>
          <w:tcPr>
            <w:tcW w:type="dxa" w:w="17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Эксплуатация и данные после ввода</w:t>
            </w:r>
          </w:p>
        </w:tc>
        <w:tc>
          <w:tcPr>
            <w:tcW w:type="dxa" w:w="2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Пост-оккупационная верификация, обслуживание, ресертификация при перепланировке</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Потенциально высокая — регулярный доход</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c>
          <w:tcPr>
            <w:tcW w:type="dxa" w:w="17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практика пост-оккупационной верификации в СНГ почти не развита</w:t>
            </w:r>
          </w:p>
        </w:tc>
      </w:tr>
    </w:tbl>
    <w:p>
      <w:pPr>
        <w:spacing w:after="80"/>
      </w:pPr>
    </w:p>
    <w:p>
      <w:pPr>
        <w:spacing w:after="60" w:before="120"/>
        <w:jc w:val="center"/>
      </w:pPr>
      <w:r>
        <w:drawing>
          <wp:inline distT="0" distB="0" distL="0" distR="0">
            <wp:extent cx="5905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2476500"/>
                    </a:xfrm>
                    <a:prstGeom prst="rect">
                      <a:avLst/>
                    </a:prstGeom>
                  </pic:spPr>
                </pic:pic>
              </a:graphicData>
            </a:graphic>
          </wp:inline>
        </w:drawing>
      </w:r>
    </w:p>
    <w:p>
      <w:pPr>
        <w:spacing w:after="200"/>
        <w:jc w:val="center"/>
      </w:pPr>
      <w:r>
        <w:rPr>
          <w:rFonts w:ascii="Aptos" w:cs="Aptos" w:eastAsia="Aptos" w:hAnsi="Aptos"/>
          <w:i/>
          <w:iCs/>
          <w:color w:val="5B5347"/>
          <w:sz w:val="17"/>
          <w:szCs w:val="17"/>
        </w:rPr>
        <w:t xml:space="preserve">Цепочка создания стоимости от сырья до эксплуатации — акцент на звенья с наибольшей и наиболее дефицитной в СНГ маржой.</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инференция Valmark</w:t>
            </w:r>
          </w:p>
          <w:p>
            <w:pPr>
              <w:spacing w:after="0" w:line="280"/>
            </w:pPr>
            <w:r>
              <w:rPr>
                <w:rFonts w:ascii="Aptos" w:cs="Aptos" w:eastAsia="Aptos" w:hAnsi="Aptos"/>
                <w:color w:val="1A1A1A"/>
                <w:sz w:val="20"/>
                <w:szCs w:val="20"/>
              </w:rPr>
              <w:t xml:space="preserve">Самое дефицитное звено в СНГ — не производство изделия (оно тиражируется быстро), а испытания/сертификация и акустическое проектирование. Это одновременно и узкое место, и главная точка, куда стоит инвестировать компании, которая хочет не конкурировать по цене, а занять позицию интегратора.</w:t>
            </w:r>
          </w:p>
        </w:tc>
      </w:tr>
    </w:tbl>
    <w:p>
      <w:pPr>
        <w:pStyle w:val="Heading1"/>
        <w:pageBreakBefore/>
        <w:spacing w:after="160" w:before="240"/>
      </w:pPr>
      <w:r>
        <w:rPr>
          <w:rFonts w:ascii="Aptos" w:cs="Aptos" w:eastAsia="Aptos" w:hAnsi="Aptos"/>
          <w:b/>
          <w:bCs/>
          <w:color w:val="2B1D14"/>
          <w:sz w:val="30"/>
          <w:szCs w:val="30"/>
        </w:rPr>
        <w:t xml:space="preserve">Раздел 12. Конкурентная архитектура</w:t>
      </w:r>
    </w:p>
    <w:p>
      <w:pPr>
        <w:spacing w:after="140" w:line="300"/>
        <w:jc w:val="left"/>
      </w:pPr>
      <w:r>
        <w:rPr>
          <w:rFonts w:ascii="Aptos" w:cs="Aptos" w:eastAsia="Aptos" w:hAnsi="Aptos"/>
          <w:color w:val="1A1A1A"/>
          <w:sz w:val="21"/>
          <w:szCs w:val="21"/>
        </w:rPr>
        <w:t xml:space="preserve">Вместо каталога брендов — модели конкуренции и то, какой барьер каждая из них реально держит.</w:t>
      </w:r>
    </w:p>
    <w:p>
      <w:pPr>
        <w:pStyle w:val="ListParagraph"/>
        <w:numPr>
          <w:ilvl w:val="0"/>
          <w:numId w:val="2"/>
        </w:numPr>
        <w:spacing w:after="100" w:line="290"/>
      </w:pPr>
      <w:r>
        <w:rPr>
          <w:rFonts w:ascii="Aptos" w:cs="Aptos" w:eastAsia="Aptos" w:hAnsi="Aptos"/>
          <w:b/>
          <w:bCs/>
          <w:color w:val="1A1A1A"/>
          <w:sz w:val="21"/>
          <w:szCs w:val="21"/>
        </w:rPr>
        <w:t xml:space="preserve">Производитель материала (минвата, ПЭТ-войлок). </w:t>
      </w:r>
      <w:r>
        <w:rPr>
          <w:rFonts w:ascii="Aptos" w:cs="Aptos" w:eastAsia="Aptos" w:hAnsi="Aptos"/>
          <w:color w:val="1A1A1A"/>
          <w:sz w:val="21"/>
          <w:szCs w:val="21"/>
        </w:rPr>
        <w:t xml:space="preserve">Технологический барьер средний, ценовое преимущество возможно за счёт масштаба, но риск коммодитизации высокий — материал как таковой легко копируется.</w:t>
      </w:r>
    </w:p>
    <w:p>
      <w:pPr>
        <w:pStyle w:val="ListParagraph"/>
        <w:numPr>
          <w:ilvl w:val="0"/>
          <w:numId w:val="2"/>
        </w:numPr>
        <w:spacing w:after="100" w:line="290"/>
      </w:pPr>
      <w:r>
        <w:rPr>
          <w:rFonts w:ascii="Aptos" w:cs="Aptos" w:eastAsia="Aptos" w:hAnsi="Aptos"/>
          <w:b/>
          <w:bCs/>
          <w:color w:val="1A1A1A"/>
          <w:sz w:val="21"/>
          <w:szCs w:val="21"/>
        </w:rPr>
        <w:t xml:space="preserve">Производитель готовых панелей. </w:t>
      </w:r>
      <w:r>
        <w:rPr>
          <w:rFonts w:ascii="Aptos" w:cs="Aptos" w:eastAsia="Aptos" w:hAnsi="Aptos"/>
          <w:color w:val="1A1A1A"/>
          <w:sz w:val="21"/>
          <w:szCs w:val="21"/>
        </w:rPr>
        <w:t xml:space="preserve">Барьер выше за счёт сертификации и бренда; контроль над спецификацией частичный — зависит от отношений с архитектурными бюро.</w:t>
      </w:r>
    </w:p>
    <w:p>
      <w:pPr>
        <w:pStyle w:val="ListParagraph"/>
        <w:numPr>
          <w:ilvl w:val="0"/>
          <w:numId w:val="2"/>
        </w:numPr>
        <w:spacing w:after="100" w:line="290"/>
      </w:pPr>
      <w:r>
        <w:rPr>
          <w:rFonts w:ascii="Aptos" w:cs="Aptos" w:eastAsia="Aptos" w:hAnsi="Aptos"/>
          <w:b/>
          <w:bCs/>
          <w:color w:val="1A1A1A"/>
          <w:sz w:val="21"/>
          <w:szCs w:val="21"/>
        </w:rPr>
        <w:t xml:space="preserve">Мебельная фабрика. </w:t>
      </w:r>
      <w:r>
        <w:rPr>
          <w:rFonts w:ascii="Aptos" w:cs="Aptos" w:eastAsia="Aptos" w:hAnsi="Aptos"/>
          <w:color w:val="1A1A1A"/>
          <w:sz w:val="21"/>
          <w:szCs w:val="21"/>
        </w:rPr>
        <w:t xml:space="preserve">Низкий технологический барьер входа в акустический сегмент через расширение существующей линейки; риск коммодитизации высокий без собственной сертификации и расчётной компетенции.</w:t>
      </w:r>
    </w:p>
    <w:p>
      <w:pPr>
        <w:pStyle w:val="ListParagraph"/>
        <w:numPr>
          <w:ilvl w:val="0"/>
          <w:numId w:val="2"/>
        </w:numPr>
        <w:spacing w:after="100" w:line="290"/>
      </w:pPr>
      <w:r>
        <w:rPr>
          <w:rFonts w:ascii="Aptos" w:cs="Aptos" w:eastAsia="Aptos" w:hAnsi="Aptos"/>
          <w:b/>
          <w:bCs/>
          <w:color w:val="1A1A1A"/>
          <w:sz w:val="21"/>
          <w:szCs w:val="21"/>
        </w:rPr>
        <w:t xml:space="preserve">Производитель office pods. </w:t>
      </w:r>
      <w:r>
        <w:rPr>
          <w:rFonts w:ascii="Aptos" w:cs="Aptos" w:eastAsia="Aptos" w:hAnsi="Aptos"/>
          <w:color w:val="1A1A1A"/>
          <w:sz w:val="21"/>
          <w:szCs w:val="21"/>
        </w:rPr>
        <w:t xml:space="preserve">Высокий барьер (капиталоёмкость, инженерная сложность, сертификация по нескольким дисциплинам одновременно) — но и самая высокая защита от коммодитизации среди рассмотренных моделей.</w:t>
      </w:r>
    </w:p>
    <w:p>
      <w:pPr>
        <w:pStyle w:val="ListParagraph"/>
        <w:numPr>
          <w:ilvl w:val="0"/>
          <w:numId w:val="2"/>
        </w:numPr>
        <w:spacing w:after="100" w:line="290"/>
      </w:pPr>
      <w:r>
        <w:rPr>
          <w:rFonts w:ascii="Aptos" w:cs="Aptos" w:eastAsia="Aptos" w:hAnsi="Aptos"/>
          <w:b/>
          <w:bCs/>
          <w:color w:val="1A1A1A"/>
          <w:sz w:val="21"/>
          <w:szCs w:val="21"/>
        </w:rPr>
        <w:t xml:space="preserve">Архитектурная система/интегрированное решение. </w:t>
      </w:r>
      <w:r>
        <w:rPr>
          <w:rFonts w:ascii="Aptos" w:cs="Aptos" w:eastAsia="Aptos" w:hAnsi="Aptos"/>
          <w:color w:val="1A1A1A"/>
          <w:sz w:val="21"/>
          <w:szCs w:val="21"/>
        </w:rPr>
        <w:t xml:space="preserve">Контроль над спецификацией высокий по определению — это тот, кто решает, что войдёт в проект; экспортный потенциал ограничен привязкой к конкретным рынкам и локальным бюро.</w:t>
      </w:r>
    </w:p>
    <w:p>
      <w:pPr>
        <w:pStyle w:val="ListParagraph"/>
        <w:numPr>
          <w:ilvl w:val="0"/>
          <w:numId w:val="2"/>
        </w:numPr>
        <w:spacing w:after="100" w:line="290"/>
      </w:pPr>
      <w:r>
        <w:rPr>
          <w:rFonts w:ascii="Aptos" w:cs="Aptos" w:eastAsia="Aptos" w:hAnsi="Aptos"/>
          <w:b/>
          <w:bCs/>
          <w:color w:val="1A1A1A"/>
          <w:sz w:val="21"/>
          <w:szCs w:val="21"/>
        </w:rPr>
        <w:t xml:space="preserve">Акустический консультант. </w:t>
      </w:r>
      <w:r>
        <w:rPr>
          <w:rFonts w:ascii="Aptos" w:cs="Aptos" w:eastAsia="Aptos" w:hAnsi="Aptos"/>
          <w:color w:val="1A1A1A"/>
          <w:sz w:val="21"/>
          <w:szCs w:val="21"/>
        </w:rPr>
        <w:t xml:space="preserve">Не производит физический продукт, но контролирует решение о том, какой продукт будет куплен; нормативный барьер входа — квалификация и репутация, а не капитал.</w:t>
      </w:r>
    </w:p>
    <w:p>
      <w:pPr>
        <w:pStyle w:val="ListParagraph"/>
        <w:numPr>
          <w:ilvl w:val="0"/>
          <w:numId w:val="2"/>
        </w:numPr>
        <w:spacing w:after="100" w:line="290"/>
      </w:pPr>
      <w:r>
        <w:rPr>
          <w:rFonts w:ascii="Aptos" w:cs="Aptos" w:eastAsia="Aptos" w:hAnsi="Aptos"/>
          <w:b/>
          <w:bCs/>
          <w:color w:val="1A1A1A"/>
          <w:sz w:val="21"/>
          <w:szCs w:val="21"/>
        </w:rPr>
        <w:t xml:space="preserve">Контрактный интегратор. </w:t>
      </w:r>
      <w:r>
        <w:rPr>
          <w:rFonts w:ascii="Aptos" w:cs="Aptos" w:eastAsia="Aptos" w:hAnsi="Aptos"/>
          <w:color w:val="1A1A1A"/>
          <w:sz w:val="21"/>
          <w:szCs w:val="21"/>
        </w:rPr>
        <w:t xml:space="preserve">Собирает решение из чужих компонентов под ключ; ценовое преимущество и риск коммодитизации зависят от того, насколько уникальна его расчётная/сервисная часть.</w:t>
      </w:r>
    </w:p>
    <w:p>
      <w:pPr>
        <w:pStyle w:val="ListParagraph"/>
        <w:numPr>
          <w:ilvl w:val="0"/>
          <w:numId w:val="2"/>
        </w:numPr>
        <w:spacing w:after="100" w:line="290"/>
      </w:pPr>
      <w:r>
        <w:rPr>
          <w:rFonts w:ascii="Aptos" w:cs="Aptos" w:eastAsia="Aptos" w:hAnsi="Aptos"/>
          <w:b/>
          <w:bCs/>
          <w:color w:val="1A1A1A"/>
          <w:sz w:val="21"/>
          <w:szCs w:val="21"/>
        </w:rPr>
        <w:t xml:space="preserve">Цифровая платформа проектирования (BIM-каталоги). </w:t>
      </w:r>
      <w:r>
        <w:rPr>
          <w:rFonts w:ascii="Aptos" w:cs="Aptos" w:eastAsia="Aptos" w:hAnsi="Aptos"/>
          <w:color w:val="1A1A1A"/>
          <w:sz w:val="21"/>
          <w:szCs w:val="21"/>
        </w:rPr>
        <w:t xml:space="preserve">Формально не участник рынка физического продукта, но контролирует видимость: если продукта нет в каталоге, архитектор его физически не увидит при подборе — это скрытый нормативный барьер нового типа.</w:t>
      </w:r>
    </w:p>
    <w:p>
      <w:pPr>
        <w:pStyle w:val="Heading1"/>
        <w:pageBreakBefore/>
        <w:spacing w:after="160" w:before="240"/>
      </w:pPr>
      <w:r>
        <w:rPr>
          <w:rFonts w:ascii="Aptos" w:cs="Aptos" w:eastAsia="Aptos" w:hAnsi="Aptos"/>
          <w:b/>
          <w:bCs/>
          <w:color w:val="2B1D14"/>
          <w:sz w:val="30"/>
          <w:szCs w:val="30"/>
        </w:rPr>
        <w:t xml:space="preserve">Раздел 13. Перераспределение маржи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50"/>
        <w:gridCol w:w="1950"/>
        <w:gridCol w:w="1900"/>
        <w:gridCol w:w="1980"/>
        <w:gridCol w:w="1780"/>
      </w:tblGrid>
      <w:tr>
        <w:trPr>
          <w:cantSplit/>
          <w:tblHeader/>
        </w:trPr>
        <w:tc>
          <w:tcPr>
            <w:tcW w:type="dxa" w:w="17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Игрок</w:t>
            </w:r>
          </w:p>
        </w:tc>
        <w:tc>
          <w:tcPr>
            <w:tcW w:type="dxa" w:w="19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Где зарабатывает сейчас</w:t>
            </w:r>
          </w:p>
        </w:tc>
        <w:tc>
          <w:tcPr>
            <w:tcW w:type="dxa" w:w="1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изменится</w:t>
            </w:r>
          </w:p>
        </w:tc>
        <w:tc>
          <w:tcPr>
            <w:tcW w:type="dxa" w:w="198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Где вырастет маржа</w:t>
            </w:r>
          </w:p>
        </w:tc>
        <w:tc>
          <w:tcPr>
            <w:tcW w:type="dxa" w:w="178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Где возникнет потеря</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материала</w:t>
            </w:r>
          </w:p>
        </w:tc>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Продажа сырья/полуфабриката по объёму</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Давление на цену за счёт роста числа производителей ПЭТ-войлока</w:t>
            </w:r>
          </w:p>
        </w:tc>
        <w:tc>
          <w:tcPr>
            <w:tcW w:type="dxa" w:w="19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Премиум-сегмент с подтверждённым EPD и переработанным содержанием</w:t>
            </w:r>
          </w:p>
        </w:tc>
        <w:tc>
          <w:tcPr>
            <w:tcW w:type="dxa" w:w="17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Базовый несертифицированный материал — коммодитизация</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готовых панелей</w:t>
            </w:r>
          </w:p>
        </w:tc>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Продажа изделия по каталогу</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Смещение спроса к изделиям с полным пакетом протоколов</w:t>
            </w:r>
          </w:p>
        </w:tc>
        <w:tc>
          <w:tcPr>
            <w:tcW w:type="dxa" w:w="198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Пакетные предложения «продукт + расчёт + монтаж»</w:t>
            </w:r>
          </w:p>
        </w:tc>
        <w:tc>
          <w:tcPr>
            <w:tcW w:type="dxa" w:w="178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Панели без сертификации теряют доступ к объектам класса А</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Мебельная фабрика</w:t>
            </w:r>
          </w:p>
        </w:tc>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Продажа мебели без акустической функции как отдельного УТП</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Акустика становится ожидаемой опцией в мебели для офиса и HoReCa</w:t>
            </w:r>
          </w:p>
        </w:tc>
        <w:tc>
          <w:tcPr>
            <w:tcW w:type="dxa" w:w="19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Модульные системы (экраны, перегородки со встроенной акустикой)</w:t>
            </w:r>
          </w:p>
        </w:tc>
        <w:tc>
          <w:tcPr>
            <w:tcW w:type="dxa" w:w="17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Фабрики без собственной сертификации теряют крупные тендеры в пользу интеграторов</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Акустический консультант</w:t>
            </w:r>
          </w:p>
        </w:tc>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Разовый гонорар за расчёт</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Рост спроса на пост-оккупационную верификацию как повторную услугу</w:t>
            </w:r>
          </w:p>
        </w:tc>
        <w:tc>
          <w:tcPr>
            <w:tcW w:type="dxa" w:w="198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Долгосрочные контракты сопровождения при ресертификации объекта</w:t>
            </w:r>
          </w:p>
        </w:tc>
        <w:tc>
          <w:tcPr>
            <w:tcW w:type="dxa" w:w="178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Минимальный риск потерь — дефицитная компетенция</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Девелопер</w:t>
            </w:r>
          </w:p>
        </w:tc>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Учитывает акустику как статью затрат при fit-out</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Акустика становится фактором привлекательности объекта для арендатора уровня WELL/LEED</w:t>
            </w:r>
          </w:p>
        </w:tc>
        <w:tc>
          <w:tcPr>
            <w:tcW w:type="dxa" w:w="19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Более высокая арендная ставка для сертифицированных объектов</w:t>
            </w:r>
          </w:p>
        </w:tc>
        <w:tc>
          <w:tcPr>
            <w:tcW w:type="dxa" w:w="17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Издержки на переделку при отсутствии расчёта на этапе проектирования</w:t>
            </w:r>
          </w:p>
        </w:tc>
      </w:tr>
      <w:tr>
        <w:trPr>
          <w:cantSplit/>
        </w:trPr>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BIM-платформа / цифровой каталог</w:t>
            </w:r>
          </w:p>
        </w:tc>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Комиссия за размещение или подписка производителя</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Каталог становится обязательным каналом видимости для поставщика</w:t>
            </w:r>
          </w:p>
        </w:tc>
        <w:tc>
          <w:tcPr>
            <w:tcW w:type="dxa" w:w="198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Данные о характеристиках продукта как отдельный платный сервис</w:t>
            </w:r>
          </w:p>
        </w:tc>
        <w:tc>
          <w:tcPr>
            <w:tcW w:type="dxa" w:w="178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Минимальный риск — позиция усиливается</w:t>
            </w:r>
          </w:p>
        </w:tc>
      </w:tr>
      <w:tr>
        <w:trPr>
          <w:cantSplit/>
        </w:trPr>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Лаборатория испытаний</w:t>
            </w:r>
          </w:p>
        </w:tc>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Разовая оплата протокола</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Рост числа заказов при ужесточении требований к сертификации</w:t>
            </w:r>
          </w:p>
        </w:tc>
        <w:tc>
          <w:tcPr>
            <w:tcW w:type="dxa" w:w="19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Признанная аккредитация становится источником стабильного потока клиентов</w:t>
            </w:r>
          </w:p>
        </w:tc>
        <w:tc>
          <w:tcPr>
            <w:tcW w:type="dxa" w:w="178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Минимальный риск при условии сохранения аккредитации</w:t>
            </w:r>
          </w:p>
        </w:tc>
      </w:tr>
    </w:tbl>
    <w:p>
      <w:pPr>
        <w:pStyle w:val="Heading1"/>
        <w:pageBreakBefore/>
        <w:spacing w:after="160" w:before="240"/>
      </w:pPr>
      <w:r>
        <w:rPr>
          <w:rFonts w:ascii="Aptos" w:cs="Aptos" w:eastAsia="Aptos" w:hAnsi="Aptos"/>
          <w:b/>
          <w:bCs/>
          <w:color w:val="2B1D14"/>
          <w:sz w:val="30"/>
          <w:szCs w:val="30"/>
        </w:rPr>
        <w:t xml:space="preserve">Раздел 14. Главный конфликт индустрии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2B1D14" w:color="auto" w:val="clear"/>
            <w:tcMar>
              <w:top w:type="dxa" w:w="200"/>
              <w:left w:type="dxa" w:w="260"/>
              <w:bottom w:type="dxa" w:w="200"/>
              <w:right w:type="dxa" w:w="260"/>
            </w:tcMar>
          </w:tcPr>
          <w:p>
            <w:pPr>
              <w:spacing w:after="0" w:line="300"/>
            </w:pPr>
            <w:r>
              <w:rPr>
                <w:rFonts w:ascii="Aptos" w:cs="Aptos" w:eastAsia="Aptos" w:hAnsi="Aptos"/>
                <w:b/>
                <w:bCs/>
                <w:color w:val="FFFFFF"/>
                <w:sz w:val="22"/>
                <w:szCs w:val="22"/>
              </w:rPr>
              <w:t xml:space="preserve">Дизайн против измеримой эффективности: рынок ещё не решил, покупает ли заказчик красивую панель или измеримый акустический эффект — и пока этот вопрос открыт, недобросовестный продукт продолжает конкурировать с сертифицированным на равных.</w:t>
            </w:r>
          </w:p>
        </w:tc>
      </w:tr>
    </w:tbl>
    <w:p>
      <w:pPr>
        <w:spacing w:after="80"/>
      </w:pPr>
    </w:p>
    <w:p>
      <w:pPr>
        <w:spacing w:after="140" w:line="300"/>
        <w:jc w:val="left"/>
      </w:pPr>
      <w:r>
        <w:rPr>
          <w:rFonts w:ascii="Aptos" w:cs="Aptos" w:eastAsia="Aptos" w:hAnsi="Aptos"/>
          <w:b/>
          <w:bCs/>
          <w:color w:val="1A1A1A"/>
          <w:sz w:val="21"/>
          <w:szCs w:val="21"/>
        </w:rPr>
        <w:t xml:space="preserve">Почему возник: </w:t>
      </w:r>
      <w:r>
        <w:rPr>
          <w:rFonts w:ascii="Aptos" w:cs="Aptos" w:eastAsia="Aptos" w:hAnsi="Aptos"/>
          <w:color w:val="1A1A1A"/>
          <w:sz w:val="21"/>
          <w:szCs w:val="21"/>
        </w:rPr>
        <w:t xml:space="preserve">акустика долго продавалась как декоративный элемент интерьера, и покупатель — архитектор или дизайнер — исторически оценивался по эстетическому результату, а не по инженерному. Переход к измеримым требованиям (WELL, LEED, СП) происходит быстрее, чем меняется квалификация закупщика на стороне заказчика.</w:t>
      </w:r>
    </w:p>
    <w:p>
      <w:pPr>
        <w:spacing w:after="140" w:line="300"/>
        <w:jc w:val="left"/>
      </w:pPr>
      <w:r>
        <w:rPr>
          <w:rFonts w:ascii="Aptos" w:cs="Aptos" w:eastAsia="Aptos" w:hAnsi="Aptos"/>
          <w:b/>
          <w:bCs/>
          <w:color w:val="1A1A1A"/>
          <w:sz w:val="21"/>
          <w:szCs w:val="21"/>
        </w:rPr>
        <w:t xml:space="preserve">Кто участвует: </w:t>
      </w:r>
      <w:r>
        <w:rPr>
          <w:rFonts w:ascii="Aptos" w:cs="Aptos" w:eastAsia="Aptos" w:hAnsi="Aptos"/>
          <w:color w:val="1A1A1A"/>
          <w:sz w:val="21"/>
          <w:szCs w:val="21"/>
        </w:rPr>
        <w:t xml:space="preserve">производители сертифицированных решений с полным пакетом протоколов против производителей визуально похожей, но не протестированной продукции; архитекторы, ориентированные на эстетику, против инженеров-консультантов, ориентированных на расчёт.</w:t>
      </w:r>
    </w:p>
    <w:p>
      <w:pPr>
        <w:spacing w:after="140" w:line="300"/>
        <w:jc w:val="left"/>
      </w:pPr>
      <w:r>
        <w:rPr>
          <w:rFonts w:ascii="Aptos" w:cs="Aptos" w:eastAsia="Aptos" w:hAnsi="Aptos"/>
          <w:b/>
          <w:bCs/>
          <w:color w:val="1A1A1A"/>
          <w:sz w:val="21"/>
          <w:szCs w:val="21"/>
        </w:rPr>
        <w:t xml:space="preserve">Кто выигрывает: </w:t>
      </w:r>
      <w:r>
        <w:rPr>
          <w:rFonts w:ascii="Aptos" w:cs="Aptos" w:eastAsia="Aptos" w:hAnsi="Aptos"/>
          <w:color w:val="1A1A1A"/>
          <w:sz w:val="21"/>
          <w:szCs w:val="21"/>
        </w:rPr>
        <w:t xml:space="preserve">в краткосрочной перспективе — продавцы недорогой декоративной продукции на нерегулируемых объектах (жильё, малый бизнес); в среднесрочной — сертифицированные игроки, по мере того как крупные заказчики и сертификация вытесняют неподтверждённые продукты из закупки.</w:t>
      </w:r>
    </w:p>
    <w:p>
      <w:pPr>
        <w:spacing w:after="140" w:line="300"/>
        <w:jc w:val="left"/>
      </w:pPr>
      <w:r>
        <w:rPr>
          <w:rFonts w:ascii="Aptos" w:cs="Aptos" w:eastAsia="Aptos" w:hAnsi="Aptos"/>
          <w:b/>
          <w:bCs/>
          <w:color w:val="1A1A1A"/>
          <w:sz w:val="21"/>
          <w:szCs w:val="21"/>
        </w:rPr>
        <w:t xml:space="preserve">Кто теряет: </w:t>
      </w:r>
      <w:r>
        <w:rPr>
          <w:rFonts w:ascii="Aptos" w:cs="Aptos" w:eastAsia="Aptos" w:hAnsi="Aptos"/>
          <w:color w:val="1A1A1A"/>
          <w:sz w:val="21"/>
          <w:szCs w:val="21"/>
        </w:rPr>
        <w:t xml:space="preserve">заказчики, которые купили декоративное решение вместо работающего и вынуждены переделывать интерьер повторно — это прямые потери, которые редко фиксируются как «стоимость отсутствия расчёта», но реально ложатся на бюджет проекта.</w:t>
      </w:r>
    </w:p>
    <w:p>
      <w:pPr>
        <w:spacing w:after="140" w:line="300"/>
        <w:jc w:val="left"/>
      </w:pPr>
      <w:r>
        <w:rPr>
          <w:rFonts w:ascii="Aptos" w:cs="Aptos" w:eastAsia="Aptos" w:hAnsi="Aptos"/>
          <w:b/>
          <w:bCs/>
          <w:color w:val="1A1A1A"/>
          <w:sz w:val="21"/>
          <w:szCs w:val="21"/>
        </w:rPr>
        <w:t xml:space="preserve">Что это меняет: </w:t>
      </w:r>
      <w:r>
        <w:rPr>
          <w:rFonts w:ascii="Aptos" w:cs="Aptos" w:eastAsia="Aptos" w:hAnsi="Aptos"/>
          <w:color w:val="1A1A1A"/>
          <w:sz w:val="21"/>
          <w:szCs w:val="21"/>
        </w:rPr>
        <w:t xml:space="preserve">в горизонте 3–5 лет конкурентное преимущество смещается от визуального дизайна к способности подтвердить эффект цифрой — это структурно выгодно игрокам, готовым инвестировать в сертификацию уже сейчас, а не тем, кто ждёт, пока требование станет всеобщим.</w:t>
      </w:r>
    </w:p>
    <w:p>
      <w:pPr>
        <w:pStyle w:val="Heading1"/>
        <w:pageBreakBefore/>
        <w:spacing w:after="160" w:before="240"/>
      </w:pPr>
      <w:r>
        <w:rPr>
          <w:rFonts w:ascii="Aptos" w:cs="Aptos" w:eastAsia="Aptos" w:hAnsi="Aptos"/>
          <w:b/>
          <w:bCs/>
          <w:color w:val="2B1D14"/>
          <w:sz w:val="30"/>
          <w:szCs w:val="30"/>
        </w:rPr>
        <w:t xml:space="preserve">Раздел 15. Центр контроля</w:t>
      </w:r>
    </w:p>
    <w:p>
      <w:pPr>
        <w:spacing w:after="140" w:line="300"/>
        <w:jc w:val="left"/>
      </w:pPr>
      <w:r>
        <w:rPr>
          <w:rFonts w:ascii="Aptos" w:cs="Aptos" w:eastAsia="Aptos" w:hAnsi="Aptos"/>
          <w:color w:val="1A1A1A"/>
          <w:sz w:val="21"/>
          <w:szCs w:val="21"/>
        </w:rPr>
        <w:t xml:space="preserve">Ответ на вопрос «кто становится операционной системой рынка акустического комфорта» не сводится к одному типу игрока. Контроль формируется связкой трёх элементов одновременно: владение верифицированным протоколом характеристик продукта, доступ к каналу, через который решение попадает в проект (архитектор, BIM-каталог, девелопер), и якорный спрос — конкретный поток объектов, которые нужно оснастить.</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500"/>
        <w:gridCol w:w="2260"/>
      </w:tblGrid>
      <w:tr>
        <w:trPr>
          <w:cantSplit/>
          <w:tblHeader/>
        </w:trPr>
        <w:tc>
          <w:tcPr>
            <w:tcW w:type="dxa" w:w="22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Претендент на контроль</w:t>
            </w:r>
          </w:p>
        </w:tc>
        <w:tc>
          <w:tcPr>
            <w:tcW w:type="dxa" w:w="24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контролирует</w:t>
            </w:r>
          </w:p>
        </w:tc>
        <w:tc>
          <w:tcPr>
            <w:tcW w:type="dxa" w:w="25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Почему может выиграть</w:t>
            </w:r>
          </w:p>
        </w:tc>
        <w:tc>
          <w:tcPr>
            <w:tcW w:type="dxa" w:w="22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Ограничения</w:t>
            </w:r>
          </w:p>
        </w:tc>
      </w:tr>
      <w:tr>
        <w:trPr>
          <w:cantSplit/>
        </w:trPr>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Акустический консультант</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Диагностику проблемы, расчёт, итоговую спецификацию</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Первым видит проект и формирует техническое задание для закупки — без его расчёта закупка не начинается</w:t>
            </w:r>
          </w:p>
        </w:tc>
        <w:tc>
          <w:tcPr>
            <w:tcW w:type="dxa" w:w="2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владеет производством и монтажом — зависит от партнёров по исполнению</w:t>
            </w:r>
          </w:p>
        </w:tc>
      </w:tr>
      <w:tr>
        <w:trPr>
          <w:cantSplit/>
        </w:trPr>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Архитектурное бюро</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Финальное включение продукта в проектную документацию</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Юридически и практически определяет, что физически закупит девелопер</w:t>
            </w:r>
          </w:p>
        </w:tc>
        <w:tc>
          <w:tcPr>
            <w:tcW w:type="dxa" w:w="2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Обычно не специализируется на акустике — делегирует расчёт консультанту, теряя часть контроля</w:t>
            </w:r>
          </w:p>
        </w:tc>
      </w:tr>
      <w:tr>
        <w:trPr>
          <w:cantSplit/>
        </w:trPr>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BIM-платформа / цифровой каталог</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Видимость продукта на этапе подбора решения</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Новый тип фильтра: продукт, которого нет в каталоге, архитектор просто не увидит среди вариантов</w:t>
            </w:r>
          </w:p>
        </w:tc>
        <w:tc>
          <w:tcPr>
            <w:tcW w:type="dxa" w:w="2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Пока слабо развита в СНГ — большинство локальных производителей не интегрированы в BIM-каталоги</w:t>
            </w:r>
          </w:p>
        </w:tc>
      </w:tr>
      <w:tr>
        <w:trPr>
          <w:cantSplit/>
        </w:trPr>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комплексной системы (материал + расчёт + монтаж)</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Весь цикл создания ценности внутри одной компании</w:t>
            </w:r>
          </w:p>
        </w:tc>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Меньше точек передачи ответственности — проще продавать результат, а не набор компонентов</w:t>
            </w:r>
          </w:p>
        </w:tc>
        <w:tc>
          <w:tcPr>
            <w:tcW w:type="dxa" w:w="22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Требует одновременной компетенции в производстве, инженерии и сертификации — редкое сочетание</w:t>
            </w:r>
          </w:p>
        </w:tc>
      </w:tr>
      <w:tr>
        <w:trPr>
          <w:cantSplit/>
        </w:trPr>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Девелопер / контрактный интегратор крупного объекта</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Бюджет и итоговое решение о поставщике</w:t>
            </w:r>
          </w:p>
        </w:tc>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Держит деньги и решение «кого нанять»</w:t>
            </w:r>
          </w:p>
        </w:tc>
        <w:tc>
          <w:tcPr>
            <w:tcW w:type="dxa" w:w="22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Обычно не разбирается в акустике достаточно, чтобы оценить качество решения самостоятельно — зависит от консультанта</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2B1D14" w:color="auto" w:val="clear"/>
            <w:tcMar>
              <w:top w:type="dxa" w:w="200"/>
              <w:left w:type="dxa" w:w="260"/>
              <w:bottom w:type="dxa" w:w="200"/>
              <w:right w:type="dxa" w:w="260"/>
            </w:tcMar>
          </w:tcPr>
          <w:p>
            <w:pPr>
              <w:spacing w:after="0" w:line="300"/>
            </w:pPr>
            <w:r>
              <w:rPr>
                <w:rFonts w:ascii="Aptos" w:cs="Aptos" w:eastAsia="Aptos" w:hAnsi="Aptos"/>
                <w:b/>
                <w:bCs/>
                <w:color w:val="FFFFFF"/>
                <w:sz w:val="22"/>
                <w:szCs w:val="22"/>
              </w:rPr>
              <w:t xml:space="preserve">В 2026–2030 годах центр контроля смещается к связке «акустический консультант + BIM-интегрированный каталог сертифицированных продуктов», потому что именно эта связка первой видит проект, формирует техническое задание и физически ограничивает видимость несертифицированных решений — а не потому, что кто-то из них становится «главным» игроком в одиночку.</w:t>
            </w:r>
          </w:p>
        </w:tc>
      </w:tr>
    </w:tbl>
    <w:p>
      <w:pPr>
        <w:pStyle w:val="Heading1"/>
        <w:pageBreakBefore/>
        <w:spacing w:after="160" w:before="240"/>
      </w:pPr>
      <w:r>
        <w:rPr>
          <w:rFonts w:ascii="Aptos" w:cs="Aptos" w:eastAsia="Aptos" w:hAnsi="Aptos"/>
          <w:b/>
          <w:bCs/>
          <w:color w:val="2B1D14"/>
          <w:sz w:val="30"/>
          <w:szCs w:val="30"/>
        </w:rPr>
        <w:t xml:space="preserve">Раздел 16. Экономика решения</w:t>
      </w:r>
    </w:p>
    <w:p>
      <w:pPr>
        <w:pStyle w:val="Heading3"/>
        <w:spacing w:after="90" w:before="180"/>
      </w:pPr>
      <w:r>
        <w:rPr>
          <w:rFonts w:ascii="Aptos" w:cs="Aptos" w:eastAsia="Aptos" w:hAnsi="Aptos"/>
          <w:b/>
          <w:bCs/>
          <w:color w:val="B4823C"/>
          <w:sz w:val="22"/>
          <w:szCs w:val="22"/>
        </w:rPr>
        <w:t xml:space="preserve">(а) Экономика продукта / предложения</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60"/>
        <w:gridCol w:w="3700"/>
      </w:tblGrid>
      <w:tr>
        <w:trPr>
          <w:cantSplit/>
          <w:tblHeader/>
        </w:trPr>
        <w:tc>
          <w:tcPr>
            <w:tcW w:type="dxa" w:w="20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Параметр</w:t>
            </w:r>
          </w:p>
        </w:tc>
        <w:tc>
          <w:tcPr>
            <w:tcW w:type="dxa" w:w="36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Слабая модель (декоративная панель без протокола)</w:t>
            </w:r>
          </w:p>
        </w:tc>
        <w:tc>
          <w:tcPr>
            <w:tcW w:type="dxa" w:w="37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Устойчивая модель (сертифицированное решение с расчётом)</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Выручка</w:t>
            </w:r>
          </w:p>
        </w:tc>
        <w:tc>
          <w:tcPr>
            <w:tcW w:type="dxa" w:w="3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Разовая продажа изделия</w:t>
            </w:r>
          </w:p>
        </w:tc>
        <w:tc>
          <w:tcPr>
            <w:tcW w:type="dxa" w:w="3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Продукт + расчёт + монтаж + постпроектное обслуживание</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Маржа</w:t>
            </w:r>
          </w:p>
        </w:tc>
        <w:tc>
          <w:tcPr>
            <w:tcW w:type="dxa" w:w="3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 давлением из-за прямой ценовой конкуренции с аналогами</w:t>
            </w:r>
          </w:p>
        </w:tc>
        <w:tc>
          <w:tcPr>
            <w:tcW w:type="dxa" w:w="3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Защищена сертификацией и инженерной компетенцией</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Зависимость от цены</w:t>
            </w:r>
          </w:p>
        </w:tc>
        <w:tc>
          <w:tcPr>
            <w:tcW w:type="dxa" w:w="3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покупатель сравнивает только внешний вид и цену</w:t>
            </w:r>
          </w:p>
        </w:tc>
        <w:tc>
          <w:tcPr>
            <w:tcW w:type="dxa" w:w="3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покупатель сравнивает пакет решения, а не только цену за м²</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w:t>
            </w:r>
          </w:p>
        </w:tc>
        <w:tc>
          <w:tcPr>
            <w:tcW w:type="dxa" w:w="3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репутационный риск при выявлении несоответствия заявленным свойствам</w:t>
            </w:r>
          </w:p>
        </w:tc>
        <w:tc>
          <w:tcPr>
            <w:tcW w:type="dxa" w:w="3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Ниже — есть протокол, подтверждающий заявленные характеристики</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Повторная продажа</w:t>
            </w:r>
          </w:p>
        </w:tc>
        <w:tc>
          <w:tcPr>
            <w:tcW w:type="dxa" w:w="3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Практически отсутствует</w:t>
            </w:r>
          </w:p>
        </w:tc>
        <w:tc>
          <w:tcPr>
            <w:tcW w:type="dxa" w:w="3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Ресертификация, обслуживание, апгрейд при смене планировки</w:t>
            </w:r>
          </w:p>
        </w:tc>
      </w:tr>
      <w:tr>
        <w:trPr>
          <w:cantSplit/>
        </w:trPr>
        <w:tc>
          <w:tcPr>
            <w:tcW w:type="dxa" w:w="20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Контроль над клиентом</w:t>
            </w:r>
          </w:p>
        </w:tc>
        <w:tc>
          <w:tcPr>
            <w:tcW w:type="dxa" w:w="3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Слабый — легко заменяем аналогом</w:t>
            </w:r>
          </w:p>
        </w:tc>
        <w:tc>
          <w:tcPr>
            <w:tcW w:type="dxa" w:w="37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Сильный — переход к конкуренту требует повторного расчёта и согласования</w:t>
            </w:r>
          </w:p>
        </w:tc>
      </w:tr>
      <w:tr>
        <w:trPr>
          <w:cantSplit/>
        </w:trPr>
        <w:tc>
          <w:tcPr>
            <w:tcW w:type="dxa" w:w="20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Срок окупаемости для заказчика</w:t>
            </w:r>
          </w:p>
        </w:tc>
        <w:tc>
          <w:tcPr>
            <w:tcW w:type="dxa" w:w="3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оценивается системно</w:t>
            </w:r>
          </w:p>
        </w:tc>
        <w:tc>
          <w:tcPr>
            <w:tcW w:type="dxa" w:w="37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Оценивается через модель снижения потерь продуктивности (см. ниже) — с явной пометкой об уровне уверенности</w:t>
            </w:r>
          </w:p>
        </w:tc>
      </w:tr>
    </w:tbl>
    <w:p>
      <w:pPr>
        <w:spacing w:after="80"/>
      </w:pPr>
    </w:p>
    <w:p>
      <w:pPr>
        <w:pStyle w:val="Heading3"/>
        <w:spacing w:after="90" w:before="180"/>
      </w:pPr>
      <w:r>
        <w:rPr>
          <w:rFonts w:ascii="Aptos" w:cs="Aptos" w:eastAsia="Aptos" w:hAnsi="Aptos"/>
          <w:b/>
          <w:bCs/>
          <w:color w:val="B4823C"/>
          <w:sz w:val="22"/>
          <w:szCs w:val="22"/>
        </w:rPr>
        <w:t xml:space="preserve">(б) Экономика производственной единицы (мебельная фабрика, входящая в сегмент)</w:t>
      </w:r>
    </w:p>
    <w:p>
      <w:pPr>
        <w:spacing w:after="140" w:line="300"/>
        <w:jc w:val="left"/>
      </w:pPr>
      <w:r>
        <w:rPr>
          <w:rFonts w:ascii="Aptos" w:cs="Aptos" w:eastAsia="Aptos" w:hAnsi="Aptos"/>
          <w:color w:val="1A1A1A"/>
          <w:sz w:val="21"/>
          <w:szCs w:val="21"/>
        </w:rPr>
        <w:t xml:space="preserve">Для фабрики, расширяющей ассортимент на акустические экраны и панели, структура затрат отличается от типовой мебельной продукции добавлением трёх статей: испытания и сертификация (разовая инвестиция, далее — периодическая ресертификация), расчётная поддержка проекта (либо штатный специалист, либо партнёрство с консультантом), и более длинный цикл продажи через тендер вместо прямой розницы.</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2900"/>
        <w:gridCol w:w="3160"/>
      </w:tblGrid>
      <w:tr>
        <w:trPr>
          <w:cantSplit/>
          <w:tblHeader/>
        </w:trPr>
        <w:tc>
          <w:tcPr>
            <w:tcW w:type="dxa" w:w="33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Статья затрат</w:t>
            </w:r>
          </w:p>
        </w:tc>
        <w:tc>
          <w:tcPr>
            <w:tcW w:type="dxa" w:w="2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Ориентир</w:t>
            </w:r>
          </w:p>
        </w:tc>
        <w:tc>
          <w:tcPr>
            <w:tcW w:type="dxa" w:w="31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Источник и уровень уверенности</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Цена ПЭТ-панели, опт/OEM (сырьё + раскрой, без бренда)</w:t>
            </w:r>
          </w:p>
        </w:tc>
        <w:tc>
          <w:tcPr>
            <w:tcW w:type="dxa" w:w="2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 3–12 долл./м² при заказе от 20–500 м²</w:t>
            </w:r>
          </w:p>
        </w:tc>
        <w:tc>
          <w:tcPr>
            <w:tcW w:type="dxa" w:w="31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B2B-площадки (Alibaba/Made-in-China, заявленные цены производителей КНР), проверено 15.07.2026 — это цены предложения, не подтверждённые сделки; использовать как нижнюю ориентировочную границу, а не как гарантированную закупочную цену</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Цена ПЭТ-панели, готовое брендированное изделие (розница США/ЕС)</w:t>
            </w:r>
          </w:p>
        </w:tc>
        <w:tc>
          <w:tcPr>
            <w:tcW w:type="dxa" w:w="2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 65–150 долл./м² в зависимости от толщины и печати</w:t>
            </w:r>
          </w:p>
        </w:tc>
        <w:tc>
          <w:tcPr>
            <w:tcW w:type="dxa" w:w="31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Прайс-листы розничных производителей (США), проверено 15.07.2026 — верхняя граница рынка, включает бренд, логистику и маржу дистрибьютора</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Испытание NRC/αw в аккредитованной лаборатории (ISO 354/ASTM C423, одна конфигурация образца)</w:t>
            </w:r>
          </w:p>
        </w:tc>
        <w:tc>
          <w:tcPr>
            <w:tcW w:type="dxa" w:w="2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Порядка нескольких тысяч долл. за отчёт по одной толщине/монтажу</w:t>
            </w:r>
          </w:p>
        </w:tc>
        <w:tc>
          <w:tcPr>
            <w:tcW w:type="dxa" w:w="31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Оценка Valmark по аналогии со стоимостью сопоставимых испытаний строительных материалов; аккредитованные лаборатории (Intertek, Riverbank и аналоги) не публикуют прайс-лист в открытом доступе — котировка индивидуальна. Низкая уверенность, требует прямого запроса лаборатории</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Пожарная сертификация (класс по Euroclass или ГОСТ 30244)</w:t>
            </w:r>
          </w:p>
        </w:tc>
        <w:tc>
          <w:tcPr>
            <w:tcW w:type="dxa" w:w="2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Отдельная статья, сопоставимая по порядку величины со стоимостью акустического испытания</w:t>
            </w:r>
          </w:p>
        </w:tc>
        <w:tc>
          <w:tcPr>
            <w:tcW w:type="dxa" w:w="31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Оценка Valmark по аналогии; конкретная цифра зависит от юрисдикции и типа материала — не приводится как факт</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Разработка и запуск линии термопрессования и раскроя ПЭТ (для нового производителя)</w:t>
            </w:r>
          </w:p>
        </w:tc>
        <w:tc>
          <w:tcPr>
            <w:tcW w:type="dxa" w:w="2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 порог по сравнению с другими нишами матрицы (раздел 18) — оборудование некапиталоёмкое относительно мебельного производства в целом</w:t>
            </w:r>
          </w:p>
        </w:tc>
        <w:tc>
          <w:tcPr>
            <w:tcW w:type="dxa" w:w="31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Качественная оценка Valmark; точная сумма зависит от существующей производственной базы фабрики и не может быть дана универсально</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Себестоимость мебельного экрана (материал + каркас + сборка)</w:t>
            </w:r>
          </w:p>
        </w:tc>
        <w:tc>
          <w:tcPr>
            <w:tcW w:type="dxa" w:w="2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Определяется в первую очередь стоимостью каркаса и монтажной фурнитуры, а не акустической вставки — вставка обычно не более трети себестоимости изделия</w:t>
            </w:r>
          </w:p>
        </w:tc>
        <w:tc>
          <w:tcPr>
            <w:tcW w:type="dxa" w:w="31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Качественная оценка Valmark на основе структуры цепочки создания стоимости (раздел 11); точных отраслевых данных по разбивке себестоимости в открытом доступе не найдено</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Разработка office pod «с нуля» (прототип + сертификация)</w:t>
            </w:r>
          </w:p>
        </w:tc>
        <w:tc>
          <w:tcPr>
            <w:tcW w:type="dxa" w:w="2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На порядок выше входа в панели/экраны — требует одновременной компетенции в акустике, вентиляции и электробезопасности</w:t>
            </w:r>
          </w:p>
        </w:tc>
        <w:tc>
          <w:tcPr>
            <w:tcW w:type="dxa" w:w="31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Качественная оценка Valmark; количественных отраслевых бенчмарков в открытом доступе не найдено — это одна из причин рекомендовать данную нишу не как первый шаг (см. раздел 18)</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Тендерный цикл на объект класса А (от первого контакта до поставки)</w:t>
            </w:r>
          </w:p>
        </w:tc>
        <w:tc>
          <w:tcPr>
            <w:tcW w:type="dxa" w:w="2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Ориентировочно от нескольких месяцев до года, отдельно от цикла госзакупки (школы), который может быть дольше</w:t>
            </w:r>
          </w:p>
        </w:tc>
        <w:tc>
          <w:tcPr>
            <w:tcW w:type="dxa" w:w="31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Качественная оценка Valmark на основе структуры B2B-продаж в строительстве; точная длительность сильно зависит от типа объекта и не усредняется корректно без выборки реальных тендеров</w:t>
            </w:r>
          </w:p>
        </w:tc>
      </w:tr>
    </w:tbl>
    <w:p>
      <w:pPr>
        <w:spacing w:after="80"/>
      </w:pPr>
    </w:p>
    <w:p>
      <w:pPr>
        <w:spacing w:after="140" w:line="300"/>
        <w:jc w:val="left"/>
      </w:pPr>
      <w:r>
        <w:rPr>
          <w:rFonts w:ascii="Aptos" w:cs="Aptos" w:eastAsia="Aptos" w:hAnsi="Aptos"/>
          <w:color w:val="1A1A1A"/>
          <w:sz w:val="21"/>
          <w:szCs w:val="21"/>
        </w:rPr>
        <w:t xml:space="preserve">Прочитать эту таблицу нужно осторожно: строки с пометкой «оценка Valmark» — не результат измерения, а рассуждение по аналогии с сопоставимыми процессами, приведённое потому, что качественное утверждение «сертификация стоит дорого» без порядка величины бесполезно для планирования бюджета, а несуществующая точная цифра — хуже, чем её отсутствие. Для реального бизнес-плана каждая из этих строк должна быть заменена котировкой конкретной лаборатории, поставщика оборудования и минимум трёх собранных коммерческих предложений — этого доклад не заменяет.</w:t>
      </w:r>
    </w:p>
    <w:p>
      <w:pPr>
        <w:spacing w:after="140" w:line="300"/>
        <w:jc w:val="left"/>
      </w:pPr>
      <w:r>
        <w:rPr>
          <w:rFonts w:ascii="Aptos" w:cs="Aptos" w:eastAsia="Aptos" w:hAnsi="Aptos"/>
          <w:color w:val="1A1A1A"/>
          <w:sz w:val="21"/>
          <w:szCs w:val="21"/>
        </w:rPr>
        <w:t xml:space="preserve">Логика точки безубыточности: разовые затраты на сертификацию окупаются, когда накопленная дополнительная маржа с сертифицируемых объектов превышает эти затраты. Иллюстративный пример, а не отраслевой норматив: если разовые затраты на протокол и пожарную сертификацию условно составляют X, а один сертифицируемый объект даёт дополнительную валовую маржу Y по сравнению с продажей без сертификата, точка безубыточности наступает после X/Y таких объектов. При иллюстративном соотношении (X ≈ 3–5 годовых маржинальных доходов с одного среднего объекта) срок может условно составить 12–24 месяца — но это иллюстрация механики расчёта, а не прогноз для конкретной компании.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ограничение уверенности</w:t>
            </w:r>
          </w:p>
          <w:p>
            <w:pPr>
              <w:spacing w:after="0" w:line="280"/>
            </w:pPr>
            <w:r>
              <w:rPr>
                <w:rFonts w:ascii="Aptos" w:cs="Aptos" w:eastAsia="Aptos" w:hAnsi="Aptos"/>
                <w:color w:val="1A1A1A"/>
                <w:sz w:val="20"/>
                <w:szCs w:val="20"/>
              </w:rPr>
              <w:t xml:space="preserve">Диапазон «12–24 месяца» — иллюстрация механики точки безубыточности, а не эмпирический вывод: у Valmark нет отраслевой статистики по марже, данных о реальном объёме заказов или выборки тендеров, которая подтвердила бы этот срок для рынка в целом. Открытых пост-оккупационных исследований с полной методологией измерения финансового эффекта акустических решений также не найдено — отраслевые заявления об «окупаемости за 1–2 года» следует воспринимать как маркетинг, а не как подтверждённый факт. Для конкретной фабрики срок нужно считать на собственных цифрах себестоимости, цены сертификации и типичного размера заказа; большинство цифр в таблице выше — оценки Valmark по аналогии, а не измеренные отраслевые бенчмарки.</w:t>
            </w:r>
          </w:p>
        </w:tc>
      </w:tr>
    </w:tbl>
    <w:p>
      <w:pPr>
        <w:pStyle w:val="Heading1"/>
        <w:pageBreakBefore/>
        <w:spacing w:after="160" w:before="240"/>
      </w:pPr>
      <w:r>
        <w:rPr>
          <w:rFonts w:ascii="Aptos" w:cs="Aptos" w:eastAsia="Aptos" w:hAnsi="Aptos"/>
          <w:b/>
          <w:bCs/>
          <w:color w:val="2B1D14"/>
          <w:sz w:val="30"/>
          <w:szCs w:val="30"/>
        </w:rPr>
        <w:t xml:space="preserve">Раздел 17. Карта скрытых потерь (Hidden Loss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50"/>
        <w:gridCol w:w="2050"/>
        <w:gridCol w:w="2100"/>
        <w:gridCol w:w="1900"/>
        <w:gridCol w:w="1660"/>
      </w:tblGrid>
      <w:tr>
        <w:trPr>
          <w:cantSplit/>
          <w:tblHeader/>
        </w:trPr>
        <w:tc>
          <w:tcPr>
            <w:tcW w:type="dxa" w:w="16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Участник</w:t>
            </w:r>
          </w:p>
        </w:tc>
        <w:tc>
          <w:tcPr>
            <w:tcW w:type="dxa" w:w="20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Где теряет</w:t>
            </w:r>
          </w:p>
        </w:tc>
        <w:tc>
          <w:tcPr>
            <w:tcW w:type="dxa" w:w="21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Почему не замечает</w:t>
            </w:r>
          </w:p>
        </w:tc>
        <w:tc>
          <w:tcPr>
            <w:tcW w:type="dxa" w:w="19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Последствие</w:t>
            </w:r>
          </w:p>
        </w:tc>
        <w:tc>
          <w:tcPr>
            <w:tcW w:type="dxa" w:w="16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Как устранить</w:t>
            </w:r>
          </w:p>
        </w:tc>
      </w:tr>
      <w:tr>
        <w:trPr>
          <w:cantSplit/>
        </w:trPr>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Девелопер</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Переделка отделки после жалоб арендаторов на шум</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Акустика не входит в стандартный чек-лист приёмки объекта в отличие от инженерных систем</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Прямые расходы на повторный ремонт плюс репутационные издержки перед арендатором</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Включить акустический расчёт в техническое задание на этапе проектирования, а не после сдачи</w:t>
            </w:r>
          </w:p>
        </w:tc>
      </w:tr>
      <w:tr>
        <w:trPr>
          <w:cantSplit/>
        </w:trPr>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Мебельная фабрика без сертификации</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попадает в шорт-лист тендера на объект класса А</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Считает причиной отказа цену, а не отсутствие протокола испытаний</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Систематическая потеря крупных заказов без понимания причины</w:t>
            </w:r>
          </w:p>
        </w:tc>
        <w:tc>
          <w:tcPr>
            <w:tcW w:type="dxa" w:w="1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Получить протокол NRC/αw и пожарный класс на профильную продукцию</w:t>
            </w:r>
          </w:p>
        </w:tc>
      </w:tr>
      <w:tr>
        <w:trPr>
          <w:cantSplit/>
        </w:trPr>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Архитектор</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Репутационный риск при некорректном расчёте площади покрытия</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Расчёт часто делается «на глаз» без формулы Сабина, ошибка проявляется только после монтажа</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Заказчик недоволен результатом, хотя продукт был технически исправен</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Привлекать акустического консультанта на этапе, а не постфактум</w:t>
            </w:r>
          </w:p>
        </w:tc>
      </w:tr>
      <w:tr>
        <w:trPr>
          <w:cantSplit/>
        </w:trPr>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Оператор HoReCa</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Отток гостей из-за шумного зала в часы пик без осознания причины</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Жалобы фиксируются как «плохой сервис» или «неудачное место», а не как акустическая проблема</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Недополученная выручка от повторных визитов</w:t>
            </w:r>
          </w:p>
        </w:tc>
        <w:tc>
          <w:tcPr>
            <w:tcW w:type="dxa" w:w="1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Провести базовый акустический аудит зала (замер RT60) до начала ремонта, а не после</w:t>
            </w:r>
          </w:p>
        </w:tc>
      </w:tr>
      <w:tr>
        <w:trPr>
          <w:cantSplit/>
        </w:trPr>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Заказчик жилого объекта премиум-класса</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Слышимость между квартирами при формально пройденной приёмке</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Норматив (Rw) пройден на уровне минимального требования, а не комфортного</w:t>
            </w:r>
          </w:p>
        </w:tc>
        <w:tc>
          <w:tcPr>
            <w:tcW w:type="dxa" w:w="19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Судебные споры и репутационные потери девелопера жилого проекта</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Проектировать с запасом сверх минимального норматива для премиум-сегмента изначально</w:t>
            </w:r>
          </w:p>
        </w:tc>
      </w:tr>
      <w:tr>
        <w:trPr>
          <w:cantSplit/>
        </w:trPr>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Поставщик декоративных панелей без подложки</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Возврат или расторжение контракта после независимой проверки на объекте</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Считает рекламации точечным недопониманием с конкретным клиентом</w:t>
            </w:r>
          </w:p>
        </w:tc>
        <w:tc>
          <w:tcPr>
            <w:tcW w:type="dxa" w:w="19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Потеря доверия у архитектурного бюро на будущих проектах</w:t>
            </w:r>
          </w:p>
        </w:tc>
        <w:tc>
          <w:tcPr>
            <w:tcW w:type="dxa" w:w="1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Прозрачно указывать реальную акустическую роль изделия и не выдавать декор за акустику</w:t>
            </w:r>
          </w:p>
        </w:tc>
      </w:tr>
    </w:tbl>
    <w:p>
      <w:pPr>
        <w:pStyle w:val="Heading1"/>
        <w:pageBreakBefore/>
        <w:spacing w:after="160" w:before="240"/>
      </w:pPr>
      <w:r>
        <w:rPr>
          <w:rFonts w:ascii="Aptos" w:cs="Aptos" w:eastAsia="Aptos" w:hAnsi="Aptos"/>
          <w:b/>
          <w:bCs/>
          <w:color w:val="2B1D14"/>
          <w:sz w:val="30"/>
          <w:szCs w:val="30"/>
        </w:rPr>
        <w:t xml:space="preserve">Раздел 18. Возможности для мебельной промышленности СНГ</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статус раздела</w:t>
            </w:r>
          </w:p>
          <w:p>
            <w:pPr>
              <w:spacing w:after="0" w:line="280"/>
            </w:pPr>
            <w:r>
              <w:rPr>
                <w:rFonts w:ascii="Aptos" w:cs="Aptos" w:eastAsia="Aptos" w:hAnsi="Aptos"/>
                <w:color w:val="1A1A1A"/>
                <w:sz w:val="20"/>
                <w:szCs w:val="20"/>
              </w:rPr>
              <w:t xml:space="preserve">Матрица ниже — рабочая гипотеза Valmark, построенная на структуре глобального рынка, логике цепочки создания стоимости (раздел 11) и качественных индикаторах спроса, а не на измеренных региональных данных. Она полезна как стартовая точка для собственного расследования, но не как замена ему.</w:t>
            </w:r>
          </w:p>
        </w:tc>
      </w:tr>
    </w:tbl>
    <w:p>
      <w:pPr>
        <w:spacing w:after="140" w:line="300"/>
        <w:jc w:val="left"/>
      </w:pPr>
      <w:r>
        <w:rPr>
          <w:rFonts w:ascii="Aptos" w:cs="Aptos" w:eastAsia="Aptos" w:hAnsi="Aptos"/>
          <w:color w:val="1A1A1A"/>
          <w:sz w:val="21"/>
          <w:szCs w:val="21"/>
        </w:rPr>
        <w:t xml:space="preserve">Матрица построена по нишам, а не по типам изделий: собственнику важно не «что производить технически», а где сочетание спроса, маржи и сложности запуска даёт наилучшее соотношение риска и результата.</w:t>
      </w:r>
    </w:p>
    <w:p>
      <w:pPr>
        <w:pStyle w:val="Heading3"/>
        <w:spacing w:after="90" w:before="180"/>
      </w:pPr>
      <w:r>
        <w:rPr>
          <w:rFonts w:ascii="Aptos" w:cs="Aptos" w:eastAsia="Aptos" w:hAnsi="Aptos"/>
          <w:b/>
          <w:bCs/>
          <w:color w:val="B4823C"/>
          <w:sz w:val="22"/>
          <w:szCs w:val="22"/>
        </w:rPr>
        <w:t xml:space="preserve">Что нужно, чтобы перевести эту гипотезу в факт</w:t>
      </w:r>
    </w:p>
    <w:p>
      <w:pPr>
        <w:spacing w:after="140" w:line="300"/>
        <w:jc w:val="left"/>
      </w:pPr>
      <w:r>
        <w:rPr>
          <w:rFonts w:ascii="Aptos" w:cs="Aptos" w:eastAsia="Aptos" w:hAnsi="Aptos"/>
          <w:color w:val="1A1A1A"/>
          <w:sz w:val="21"/>
          <w:szCs w:val="21"/>
        </w:rPr>
        <w:t xml:space="preserve">Прежде чем инвестировать по логике этой матрицы, стоит закрыть конкретный пробел в данных — ни один из пунктов ниже не собирается через открытый поиск и требует отдельной полевой работы:</w:t>
      </w:r>
    </w:p>
    <w:p>
      <w:pPr>
        <w:pStyle w:val="ListParagraph"/>
        <w:numPr>
          <w:ilvl w:val="0"/>
          <w:numId w:val="2"/>
        </w:numPr>
        <w:spacing w:after="100" w:line="290"/>
      </w:pPr>
      <w:r>
        <w:rPr>
          <w:rFonts w:ascii="Aptos" w:cs="Aptos" w:eastAsia="Aptos" w:hAnsi="Aptos"/>
          <w:color w:val="1A1A1A"/>
          <w:sz w:val="21"/>
          <w:szCs w:val="21"/>
        </w:rPr>
        <w:t xml:space="preserve">Карта действующих производителей акустических панелей, экранов и мебели в России, Беларуси и Казахстане — кто уже производит, в каком объёме и с какой сертификацией.</w:t>
      </w:r>
    </w:p>
    <w:p>
      <w:pPr>
        <w:pStyle w:val="ListParagraph"/>
        <w:numPr>
          <w:ilvl w:val="0"/>
          <w:numId w:val="2"/>
        </w:numPr>
        <w:spacing w:after="100" w:line="290"/>
      </w:pPr>
      <w:r>
        <w:rPr>
          <w:rFonts w:ascii="Aptos" w:cs="Aptos" w:eastAsia="Aptos" w:hAnsi="Aptos"/>
          <w:color w:val="1A1A1A"/>
          <w:sz w:val="21"/>
          <w:szCs w:val="21"/>
        </w:rPr>
        <w:t xml:space="preserve">Реестр аккредитованных лабораторий региона, способных выдать протокол по ISO 354/ГОСТ 31704 и смежным стандартам, с реальными сроками и стоимостью.</w:t>
      </w:r>
    </w:p>
    <w:p>
      <w:pPr>
        <w:pStyle w:val="ListParagraph"/>
        <w:numPr>
          <w:ilvl w:val="0"/>
          <w:numId w:val="2"/>
        </w:numPr>
        <w:spacing w:after="100" w:line="290"/>
      </w:pPr>
      <w:r>
        <w:rPr>
          <w:rFonts w:ascii="Aptos" w:cs="Aptos" w:eastAsia="Aptos" w:hAnsi="Aptos"/>
          <w:color w:val="1A1A1A"/>
          <w:sz w:val="21"/>
          <w:szCs w:val="21"/>
        </w:rPr>
        <w:t xml:space="preserve">Анализ 20–30 реальных тендеров на объекты класса А и HoReCa за последние 1–2 года — какие требования к акустике в них реально были прописаны, а какие нет.</w:t>
      </w:r>
    </w:p>
    <w:p>
      <w:pPr>
        <w:pStyle w:val="ListParagraph"/>
        <w:numPr>
          <w:ilvl w:val="0"/>
          <w:numId w:val="2"/>
        </w:numPr>
        <w:spacing w:after="100" w:line="290"/>
      </w:pPr>
      <w:r>
        <w:rPr>
          <w:rFonts w:ascii="Aptos" w:cs="Aptos" w:eastAsia="Aptos" w:hAnsi="Aptos"/>
          <w:color w:val="1A1A1A"/>
          <w:sz w:val="21"/>
          <w:szCs w:val="21"/>
        </w:rPr>
        <w:t xml:space="preserve">Цены на панели, экраны и кабины у локальных и импортных поставщиков — не прайс-лист, а данные о реальных сделках.</w:t>
      </w:r>
    </w:p>
    <w:p>
      <w:pPr>
        <w:pStyle w:val="ListParagraph"/>
        <w:numPr>
          <w:ilvl w:val="0"/>
          <w:numId w:val="2"/>
        </w:numPr>
        <w:spacing w:after="100" w:line="290"/>
      </w:pPr>
      <w:r>
        <w:rPr>
          <w:rFonts w:ascii="Aptos" w:cs="Aptos" w:eastAsia="Aptos" w:hAnsi="Aptos"/>
          <w:color w:val="1A1A1A"/>
          <w:sz w:val="21"/>
          <w:szCs w:val="21"/>
        </w:rPr>
        <w:t xml:space="preserve">Статистика импорта готовых акустических изделий по товарным кодам ВЭД — прокси для объёма неоцифрованного спроса.</w:t>
      </w:r>
    </w:p>
    <w:p>
      <w:pPr>
        <w:pStyle w:val="ListParagraph"/>
        <w:numPr>
          <w:ilvl w:val="0"/>
          <w:numId w:val="2"/>
        </w:numPr>
        <w:spacing w:after="100" w:line="290"/>
      </w:pPr>
      <w:r>
        <w:rPr>
          <w:rFonts w:ascii="Aptos" w:cs="Aptos" w:eastAsia="Aptos" w:hAnsi="Aptos"/>
          <w:color w:val="1A1A1A"/>
          <w:sz w:val="21"/>
          <w:szCs w:val="21"/>
        </w:rPr>
        <w:t xml:space="preserve">Список объектов в регионе, реально прошедших WELL/LEED/BREEAM или имеющих корпоративный акустический стандарт — сколько их и кто их спецификатор.</w:t>
      </w:r>
    </w:p>
    <w:p>
      <w:pPr>
        <w:pStyle w:val="ListParagraph"/>
        <w:numPr>
          <w:ilvl w:val="0"/>
          <w:numId w:val="2"/>
        </w:numPr>
        <w:spacing w:after="100" w:line="290"/>
      </w:pPr>
      <w:r>
        <w:rPr>
          <w:rFonts w:ascii="Aptos" w:cs="Aptos" w:eastAsia="Aptos" w:hAnsi="Aptos"/>
          <w:color w:val="1A1A1A"/>
          <w:sz w:val="21"/>
          <w:szCs w:val="21"/>
        </w:rPr>
        <w:t xml:space="preserve">Интервью с 5–10 действующими акустическими консультантами и архитектурными бюро о том, кто на практике принимает решение о продукте.</w:t>
      </w:r>
    </w:p>
    <w:p>
      <w:pPr>
        <w:spacing w:after="80"/>
      </w:pPr>
    </w:p>
    <w:p>
      <w:pPr>
        <w:spacing w:after="80"/>
      </w:pPr>
    </w:p>
    <w:p>
      <w:pPr>
        <w:spacing w:after="140" w:line="300"/>
        <w:jc w:val="left"/>
      </w:pPr>
      <w:r>
        <w:rPr>
          <w:rFonts w:ascii="Aptos" w:cs="Aptos" w:eastAsia="Aptos" w:hAnsi="Aptos"/>
          <w:color w:val="1A1A1A"/>
          <w:sz w:val="21"/>
          <w:szCs w:val="21"/>
        </w:rPr>
        <w:t xml:space="preserve">Матрица разбита на две таблицы, чтобы каждая колонка оставалась читаемой: первая — рынок и экономика ниши, вторая — операционная сложность входа.</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2400"/>
        <w:gridCol w:w="2100"/>
        <w:gridCol w:w="1560"/>
      </w:tblGrid>
      <w:tr>
        <w:trPr>
          <w:cantSplit/>
          <w:tblHeader/>
        </w:trPr>
        <w:tc>
          <w:tcPr>
            <w:tcW w:type="dxa" w:w="33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Ниша</w:t>
            </w:r>
          </w:p>
        </w:tc>
        <w:tc>
          <w:tcPr>
            <w:tcW w:type="dxa" w:w="24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Спрос</w:t>
            </w:r>
          </w:p>
        </w:tc>
        <w:tc>
          <w:tcPr>
            <w:tcW w:type="dxa" w:w="21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Маржинальность</w:t>
            </w:r>
          </w:p>
        </w:tc>
        <w:tc>
          <w:tcPr>
            <w:tcW w:type="dxa" w:w="15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Сложность запуска</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ПЭТ-панели и акустические экраны</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Мебельные экраны для рабочих станций</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Шкафы и системы хранения с акустическими фасадами</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Средняя–высокая</w:t>
            </w:r>
          </w:p>
        </w:tc>
        <w:tc>
          <w:tcPr>
            <w:tcW w:type="dxa" w:w="15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Домашние офисные модули</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Растущий, пока неоформленный</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 для школ (акустически интегрированная)</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регламентирован тендерами</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Низкая–средняя</w:t>
            </w:r>
          </w:p>
        </w:tc>
        <w:tc>
          <w:tcPr>
            <w:tcW w:type="dxa" w:w="15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Решения для HoReCa (диваны, перегородки, потолочные элементы)</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Высокий, слабо осознанный заказчиком</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Средняя–высокая</w:t>
            </w:r>
          </w:p>
        </w:tc>
        <w:tc>
          <w:tcPr>
            <w:tcW w:type="dxa" w:w="15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Модульные переговорные</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Office pods / кабины</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Растущий, конкуренция с импортом</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Акустические изголовья и жилая мебель</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Формирующийся</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Изделия из отходов мебельного/текстильного производства</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Нишевой, растёт с ESG-повесткой</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экономия на сырье</w:t>
            </w:r>
          </w:p>
        </w:tc>
        <w:tc>
          <w:tcPr>
            <w:tcW w:type="dxa" w:w="15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Интеграция акустики, света и вентиляции</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Нишевой, премиальный</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Сервис верификации (испытательная лаборатория)</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Структурно вакантная роль в СНГ</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регулярный доход</w:t>
            </w:r>
          </w:p>
        </w:tc>
        <w:tc>
          <w:tcPr>
            <w:tcW w:type="dxa" w:w="15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(аккредитация)</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2400"/>
        <w:gridCol w:w="1800"/>
        <w:gridCol w:w="1860"/>
      </w:tblGrid>
      <w:tr>
        <w:trPr>
          <w:cantSplit/>
          <w:tblHeader/>
        </w:trPr>
        <w:tc>
          <w:tcPr>
            <w:tcW w:type="dxa" w:w="33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Ниша</w:t>
            </w:r>
          </w:p>
        </w:tc>
        <w:tc>
          <w:tcPr>
            <w:tcW w:type="dxa" w:w="24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Сертификация</w:t>
            </w:r>
          </w:p>
        </w:tc>
        <w:tc>
          <w:tcPr>
            <w:tcW w:type="dxa" w:w="18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Скорость запуска</w:t>
            </w:r>
          </w:p>
        </w:tc>
        <w:tc>
          <w:tcPr>
            <w:tcW w:type="dxa" w:w="18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Экспортный потенциал</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ПЭТ-панели и акустические экраны</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Требуется, но доступна</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Быстрая (3–6 мес.)</w:t>
            </w:r>
          </w:p>
        </w:tc>
        <w:tc>
          <w:tcPr>
            <w:tcW w:type="dxa" w:w="18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 РФ, Беларусь, Казахстан</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Мебельные экраны для рабочих станций</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Желательна</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Быстрая</w:t>
            </w:r>
          </w:p>
        </w:tc>
        <w:tc>
          <w:tcPr>
            <w:tcW w:type="dxa" w:w="18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Шкафы и системы хранения с акустическими фасадами</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Желательна</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(6–9 мес.)</w:t>
            </w:r>
          </w:p>
        </w:tc>
        <w:tc>
          <w:tcPr>
            <w:tcW w:type="dxa" w:w="18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Низкий–средний</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Домашние офисные модули</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критична на старте</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8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 для школ (акустически интегрированная)</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Обязательна через госзакупку</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Средняя–долгая</w:t>
            </w:r>
          </w:p>
        </w:tc>
        <w:tc>
          <w:tcPr>
            <w:tcW w:type="dxa" w:w="18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Решения для HoReCa (диваны, перегородки, потолочные элементы)</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Желательна</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8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Модульные переговорные</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Требуется (пожарная, вентиляция)</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Долгая (9–12 мес.)</w:t>
            </w:r>
          </w:p>
        </w:tc>
        <w:tc>
          <w:tcPr>
            <w:tcW w:type="dxa" w:w="18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Office pods / кабины</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Требуется по ISO 23351-1 (DS,A)</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Долгая (12+ мес.)</w:t>
            </w:r>
          </w:p>
        </w:tc>
        <w:tc>
          <w:tcPr>
            <w:tcW w:type="dxa" w:w="18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 на старте</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Акустические изголовья и жилая мебель</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критична</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Быстрая</w:t>
            </w:r>
          </w:p>
        </w:tc>
        <w:tc>
          <w:tcPr>
            <w:tcW w:type="dxa" w:w="18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Изделия из отходов мебельного/текстильного производства</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Желательна для EPD</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8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 ESG-рынки Европы</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Интеграция акустики, света и вентиляции</w:t>
            </w:r>
          </w:p>
        </w:tc>
        <w:tc>
          <w:tcPr>
            <w:tcW w:type="dxa" w:w="2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 нескольким дисциплинам</w:t>
            </w:r>
          </w:p>
        </w:tc>
        <w:tc>
          <w:tcPr>
            <w:tcW w:type="dxa" w:w="18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Долгая</w:t>
            </w:r>
          </w:p>
        </w:tc>
        <w:tc>
          <w:tcPr>
            <w:tcW w:type="dxa" w:w="18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Низкий на старте</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Сервис верификации (испытательная лаборатория)</w:t>
            </w:r>
          </w:p>
        </w:tc>
        <w:tc>
          <w:tcPr>
            <w:tcW w:type="dxa" w:w="2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Сама является сертифицирующим звеном</w:t>
            </w:r>
          </w:p>
        </w:tc>
        <w:tc>
          <w:tcPr>
            <w:tcW w:type="dxa" w:w="18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Долгая (12–18 мес.)</w:t>
            </w:r>
          </w:p>
        </w:tc>
        <w:tc>
          <w:tcPr>
            <w:tcW w:type="dxa" w:w="18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 нужен всему региону</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продуктовый приоритет запуска</w:t>
            </w:r>
          </w:p>
          <w:p>
            <w:pPr>
              <w:spacing w:after="0" w:line="280"/>
            </w:pPr>
            <w:r>
              <w:rPr>
                <w:rFonts w:ascii="Aptos" w:cs="Aptos" w:eastAsia="Aptos" w:hAnsi="Aptos"/>
                <w:color w:val="1A1A1A"/>
                <w:sz w:val="20"/>
                <w:szCs w:val="20"/>
              </w:rPr>
              <w:t xml:space="preserve">Логика последовательности: сначала продукты, которые строят доказательство компетенции (ПЭТ-панели, экраны — быстрый запуск, понятная сертификация), затем продукты, которые берут премию за это доказательство (HoReCa-решения, модульные переговорные, кабины). Сервис верификации — по сути, продукт самого центра контроля: он не требует конкурировать с производителями, а обслуживает всех их одновременно.</w:t>
            </w:r>
          </w:p>
        </w:tc>
      </w:tr>
    </w:tbl>
    <w:p>
      <w:pPr>
        <w:spacing w:after="60" w:before="120"/>
        <w:jc w:val="center"/>
      </w:pPr>
      <w:r>
        <w:drawing>
          <wp:inline distT="0" distB="0" distL="0" distR="0">
            <wp:extent cx="5334000" cy="392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924300"/>
                    </a:xfrm>
                    <a:prstGeom prst="rect">
                      <a:avLst/>
                    </a:prstGeom>
                  </pic:spPr>
                </pic:pic>
              </a:graphicData>
            </a:graphic>
          </wp:inline>
        </w:drawing>
      </w:r>
    </w:p>
    <w:p>
      <w:pPr>
        <w:spacing w:after="200"/>
        <w:jc w:val="center"/>
      </w:pPr>
      <w:r>
        <w:rPr>
          <w:rFonts w:ascii="Aptos" w:cs="Aptos" w:eastAsia="Aptos" w:hAnsi="Aptos"/>
          <w:i/>
          <w:iCs/>
          <w:color w:val="5B5347"/>
          <w:sz w:val="17"/>
          <w:szCs w:val="17"/>
        </w:rPr>
        <w:t xml:space="preserve">Ниши матрицы раздела 18, расположенные по сложности запуска и защищённости маржи от коммодитизации.</w:t>
      </w:r>
    </w:p>
    <w:p>
      <w:pPr>
        <w:pStyle w:val="Heading3"/>
        <w:spacing w:after="90" w:before="180"/>
      </w:pPr>
      <w:r>
        <w:rPr>
          <w:rFonts w:ascii="Aptos" w:cs="Aptos" w:eastAsia="Aptos" w:hAnsi="Aptos"/>
          <w:b/>
          <w:bCs/>
          <w:color w:val="B4823C"/>
          <w:sz w:val="22"/>
          <w:szCs w:val="22"/>
        </w:rPr>
        <w:t xml:space="preserve">Продуктовая матрица «что запускать»</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100"/>
        <w:gridCol w:w="2300"/>
        <w:gridCol w:w="1250"/>
        <w:gridCol w:w="1510"/>
      </w:tblGrid>
      <w:tr>
        <w:trPr>
          <w:cantSplit/>
          <w:tblHeader/>
        </w:trPr>
        <w:tc>
          <w:tcPr>
            <w:tcW w:type="dxa" w:w="22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Продукт</w:t>
            </w:r>
          </w:p>
        </w:tc>
        <w:tc>
          <w:tcPr>
            <w:tcW w:type="dxa" w:w="21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Для кого</w:t>
            </w:r>
          </w:p>
        </w:tc>
        <w:tc>
          <w:tcPr>
            <w:tcW w:type="dxa" w:w="23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доказать</w:t>
            </w:r>
          </w:p>
        </w:tc>
        <w:tc>
          <w:tcPr>
            <w:tcW w:type="dxa" w:w="12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Маржа</w:t>
            </w:r>
          </w:p>
        </w:tc>
        <w:tc>
          <w:tcPr>
            <w:tcW w:type="dxa" w:w="151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Главный риск</w:t>
            </w:r>
          </w:p>
        </w:tc>
      </w:tr>
      <w:tr>
        <w:trPr>
          <w:cantSplit/>
        </w:trPr>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ПЭТ-панель с протоколом NRC/αw</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Архитектурные бюро объектов класса А, офисные девелоперы</w:t>
            </w:r>
          </w:p>
        </w:tc>
        <w:tc>
          <w:tcPr>
            <w:tcW w:type="dxa" w:w="2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Стабильность характеристик от партии к партии, а не только у первого протестированного образца</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Ценовая конкуренция с параллельным импортом при равном сертификате</w:t>
            </w:r>
          </w:p>
        </w:tc>
      </w:tr>
      <w:tr>
        <w:trPr>
          <w:cantSplit/>
        </w:trPr>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Модульный акустический экран для рабочей станции</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HR-департаменты и офис-менеджеры при обустройстве open space</w:t>
            </w:r>
          </w:p>
        </w:tc>
        <w:tc>
          <w:tcPr>
            <w:tcW w:type="dxa" w:w="2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Совместимость с существующей офисной мебелью заказчика</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Восприятие как «ещё одна мебельная опция», а не акустическое решение</w:t>
            </w:r>
          </w:p>
        </w:tc>
      </w:tr>
      <w:tr>
        <w:trPr>
          <w:cantSplit/>
        </w:trPr>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Комплект для акустики зала HoReCa (потолок + перегородки + мягкая мебель)</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Рестораторы и операторы отелей</w:t>
            </w:r>
          </w:p>
        </w:tc>
        <w:tc>
          <w:tcPr>
            <w:tcW w:type="dxa" w:w="2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Измеримое снижение RT60 в конкретном зале до и после — наглядный кейс важнее каталога</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Заказчик не формулирует запрос явно — нужен собственный аудит как входная точка продажи</w:t>
            </w:r>
          </w:p>
        </w:tc>
      </w:tr>
      <w:tr>
        <w:trPr>
          <w:cantSplit/>
        </w:trPr>
        <w:tc>
          <w:tcPr>
            <w:tcW w:type="dxa" w:w="22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Office pod среднего класса</w:t>
            </w:r>
          </w:p>
        </w:tc>
        <w:tc>
          <w:tcPr>
            <w:tcW w:type="dxa" w:w="21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Коворкинги и корпоративные офисы среднего размера</w:t>
            </w:r>
          </w:p>
        </w:tc>
        <w:tc>
          <w:tcPr>
            <w:tcW w:type="dxa" w:w="2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Соответствие ISO 23351-1 и локальным требованиям вентиляции/электробезопасности</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Долгий цикл разработки и высокий порог инвестиций при неопределённом объёме первых заказов</w:t>
            </w:r>
          </w:p>
        </w:tc>
      </w:tr>
      <w:tr>
        <w:trPr>
          <w:cantSplit/>
        </w:trPr>
        <w:tc>
          <w:tcPr>
            <w:tcW w:type="dxa" w:w="22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Сервис верификации акустических характеристик (лаборатория)</w:t>
            </w:r>
          </w:p>
        </w:tc>
        <w:tc>
          <w:tcPr>
            <w:tcW w:type="dxa" w:w="21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Локальные производители панелей, экранов, мебели, которым нужен протокол</w:t>
            </w:r>
          </w:p>
        </w:tc>
        <w:tc>
          <w:tcPr>
            <w:tcW w:type="dxa" w:w="2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Аккредитацию и признание протокола архитектурными бюро и BIM-каталогами</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регулярная</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Долгий путь к аккредитации и необходимость репутации нейтрального арбитра</w:t>
            </w:r>
          </w:p>
        </w:tc>
      </w:tr>
    </w:tbl>
    <w:p>
      <w:pPr>
        <w:spacing w:after="80"/>
      </w:pPr>
    </w:p>
    <w:p>
      <w:pPr>
        <w:spacing w:after="140" w:line="300"/>
        <w:jc w:val="left"/>
      </w:pPr>
      <w:r>
        <w:rPr>
          <w:rFonts w:ascii="Aptos" w:cs="Aptos" w:eastAsia="Aptos" w:hAnsi="Aptos"/>
          <w:color w:val="1A1A1A"/>
          <w:sz w:val="21"/>
          <w:szCs w:val="21"/>
        </w:rPr>
        <w:t xml:space="preserve">Приоритет запуска: сначала строится доказательство — сертифицированный продукт с понятным протоколом, затем добавляется премия за него — комплексные решения для HoReCa и, в перспективе, сервис верификации как продукт самого центра контроля.</w:t>
      </w:r>
    </w:p>
    <w:p>
      <w:pPr>
        <w:pStyle w:val="Heading1"/>
        <w:pageBreakBefore/>
        <w:spacing w:after="160" w:before="240"/>
      </w:pPr>
      <w:r>
        <w:rPr>
          <w:rFonts w:ascii="Aptos" w:cs="Aptos" w:eastAsia="Aptos" w:hAnsi="Aptos"/>
          <w:b/>
          <w:bCs/>
          <w:color w:val="2B1D14"/>
          <w:sz w:val="30"/>
          <w:szCs w:val="30"/>
        </w:rPr>
        <w:t xml:space="preserve">Раздел 19. Сценарии до 2030 года (сигналы — до 2035)</w:t>
      </w:r>
    </w:p>
    <w:p>
      <w:pPr>
        <w:spacing w:after="60" w:before="120"/>
        <w:jc w:val="center"/>
      </w:pPr>
      <w:r>
        <w:drawing>
          <wp:inline distT="0" distB="0" distL="0" distR="0">
            <wp:extent cx="59055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2714625"/>
                    </a:xfrm>
                    <a:prstGeom prst="rect">
                      <a:avLst/>
                    </a:prstGeom>
                  </pic:spPr>
                </pic:pic>
              </a:graphicData>
            </a:graphic>
          </wp:inline>
        </w:drawing>
      </w:r>
    </w:p>
    <w:p>
      <w:pPr>
        <w:spacing w:after="200"/>
        <w:jc w:val="center"/>
      </w:pPr>
      <w:r>
        <w:rPr>
          <w:rFonts w:ascii="Aptos" w:cs="Aptos" w:eastAsia="Aptos" w:hAnsi="Aptos"/>
          <w:i/>
          <w:iCs/>
          <w:color w:val="5B5347"/>
          <w:sz w:val="17"/>
          <w:szCs w:val="17"/>
        </w:rPr>
        <w:t xml:space="preserve">Четыре точки, на которых может остановиться конкретный продукт или компания — не обязательная последовательность для всего рынка сразу.</w:t>
      </w:r>
    </w:p>
    <w:p>
      <w:pPr>
        <w:pStyle w:val="Heading3"/>
        <w:spacing w:after="90" w:before="180"/>
      </w:pPr>
      <w:r>
        <w:rPr>
          <w:rFonts w:ascii="Aptos" w:cs="Aptos" w:eastAsia="Aptos" w:hAnsi="Aptos"/>
          <w:b/>
          <w:bCs/>
          <w:color w:val="B4823C"/>
          <w:sz w:val="22"/>
          <w:szCs w:val="22"/>
        </w:rPr>
        <w:t xml:space="preserve">Сценарий 1 — базовый: «Новый стандарт комфорта»</w:t>
      </w:r>
    </w:p>
    <w:p>
      <w:pPr>
        <w:spacing w:after="140" w:line="300"/>
        <w:jc w:val="left"/>
      </w:pPr>
      <w:r>
        <w:rPr>
          <w:rFonts w:ascii="Aptos" w:cs="Aptos" w:eastAsia="Aptos" w:hAnsi="Aptos"/>
          <w:b/>
          <w:bCs/>
          <w:color w:val="1A1A1A"/>
          <w:sz w:val="21"/>
          <w:szCs w:val="21"/>
        </w:rPr>
        <w:t xml:space="preserve">Триггер: </w:t>
      </w:r>
      <w:r>
        <w:rPr>
          <w:rFonts w:ascii="Aptos" w:cs="Aptos" w:eastAsia="Aptos" w:hAnsi="Aptos"/>
          <w:color w:val="1A1A1A"/>
          <w:sz w:val="21"/>
          <w:szCs w:val="21"/>
        </w:rPr>
        <w:t xml:space="preserve">постепенное распространение WELL/LEED/BREEAM и корпоративных стандартов на средний сегмент коммерческой недвижимости, без резких внешних шоков.</w:t>
      </w:r>
    </w:p>
    <w:p>
      <w:pPr>
        <w:spacing w:after="140" w:line="300"/>
        <w:jc w:val="left"/>
      </w:pPr>
      <w:r>
        <w:rPr>
          <w:rFonts w:ascii="Aptos" w:cs="Aptos" w:eastAsia="Aptos" w:hAnsi="Aptos"/>
          <w:b/>
          <w:bCs/>
          <w:color w:val="1A1A1A"/>
          <w:sz w:val="21"/>
          <w:szCs w:val="21"/>
        </w:rPr>
        <w:t xml:space="preserve">Победители: </w:t>
      </w:r>
      <w:r>
        <w:rPr>
          <w:rFonts w:ascii="Aptos" w:cs="Aptos" w:eastAsia="Aptos" w:hAnsi="Aptos"/>
          <w:color w:val="1A1A1A"/>
          <w:sz w:val="21"/>
          <w:szCs w:val="21"/>
        </w:rPr>
        <w:t xml:space="preserve">сертифицированные производители и акустические консультанты; мебельные фабрики, успевшие получить протоколы испытаний до массового ужесточения требований.</w:t>
      </w:r>
    </w:p>
    <w:p>
      <w:pPr>
        <w:spacing w:after="140" w:line="300"/>
        <w:jc w:val="left"/>
      </w:pPr>
      <w:r>
        <w:rPr>
          <w:rFonts w:ascii="Aptos" w:cs="Aptos" w:eastAsia="Aptos" w:hAnsi="Aptos"/>
          <w:b/>
          <w:bCs/>
          <w:color w:val="1A1A1A"/>
          <w:sz w:val="21"/>
          <w:szCs w:val="21"/>
        </w:rPr>
        <w:t xml:space="preserve">Проигравшие: </w:t>
      </w:r>
      <w:r>
        <w:rPr>
          <w:rFonts w:ascii="Aptos" w:cs="Aptos" w:eastAsia="Aptos" w:hAnsi="Aptos"/>
          <w:color w:val="1A1A1A"/>
          <w:sz w:val="21"/>
          <w:szCs w:val="21"/>
        </w:rPr>
        <w:t xml:space="preserve">поставщики декоративной продукции без инженерной поддержки — постепенно вытесняются из крупных тендеров, но сохраняют нишу в нерегулируемом сегменте (частное жильё, малый бизнес).</w:t>
      </w:r>
    </w:p>
    <w:p>
      <w:pPr>
        <w:spacing w:after="140" w:line="300"/>
        <w:jc w:val="left"/>
      </w:pPr>
      <w:r>
        <w:rPr>
          <w:rFonts w:ascii="Aptos" w:cs="Aptos" w:eastAsia="Aptos" w:hAnsi="Aptos"/>
          <w:b/>
          <w:bCs/>
          <w:color w:val="1A1A1A"/>
          <w:sz w:val="21"/>
          <w:szCs w:val="21"/>
        </w:rPr>
        <w:t xml:space="preserve">Последствия для СНГ: </w:t>
      </w:r>
      <w:r>
        <w:rPr>
          <w:rFonts w:ascii="Aptos" w:cs="Aptos" w:eastAsia="Aptos" w:hAnsi="Aptos"/>
          <w:color w:val="1A1A1A"/>
          <w:sz w:val="21"/>
          <w:szCs w:val="21"/>
        </w:rPr>
        <w:t xml:space="preserve">окно возможности остаётся открытым 3–5 лет — достаточно, чтобы успеть выстроить сертифицированное производство и репутацию до того, как рынок консолидируется вокруг нескольких признанных игроков.</w:t>
      </w:r>
    </w:p>
    <w:p>
      <w:pPr>
        <w:pStyle w:val="Heading3"/>
        <w:spacing w:after="90" w:before="180"/>
      </w:pPr>
      <w:r>
        <w:rPr>
          <w:rFonts w:ascii="Aptos" w:cs="Aptos" w:eastAsia="Aptos" w:hAnsi="Aptos"/>
          <w:b/>
          <w:bCs/>
          <w:color w:val="B4823C"/>
          <w:sz w:val="22"/>
          <w:szCs w:val="22"/>
        </w:rPr>
        <w:t xml:space="preserve">Сценарий 2 — ускоренный: «Акустика как обязательная строка бюджета»</w:t>
      </w:r>
    </w:p>
    <w:p>
      <w:pPr>
        <w:spacing w:after="140" w:line="300"/>
        <w:jc w:val="left"/>
      </w:pPr>
      <w:r>
        <w:rPr>
          <w:rFonts w:ascii="Aptos" w:cs="Aptos" w:eastAsia="Aptos" w:hAnsi="Aptos"/>
          <w:b/>
          <w:bCs/>
          <w:color w:val="1A1A1A"/>
          <w:sz w:val="21"/>
          <w:szCs w:val="21"/>
        </w:rPr>
        <w:t xml:space="preserve">Триггер: </w:t>
      </w:r>
      <w:r>
        <w:rPr>
          <w:rFonts w:ascii="Aptos" w:cs="Aptos" w:eastAsia="Aptos" w:hAnsi="Aptos"/>
          <w:color w:val="1A1A1A"/>
          <w:sz w:val="21"/>
          <w:szCs w:val="21"/>
        </w:rPr>
        <w:t xml:space="preserve">ускоренное распространение гибридного формата работы в сочетании с ужесточением ESG-требований инвесторов к качеству рабочей среды; корпоративные заказчики начинают требовать акустический паспорт объекта наравне с энергетическим.</w:t>
      </w:r>
    </w:p>
    <w:p>
      <w:pPr>
        <w:spacing w:after="140" w:line="300"/>
        <w:jc w:val="left"/>
      </w:pPr>
      <w:r>
        <w:rPr>
          <w:rFonts w:ascii="Aptos" w:cs="Aptos" w:eastAsia="Aptos" w:hAnsi="Aptos"/>
          <w:b/>
          <w:bCs/>
          <w:color w:val="1A1A1A"/>
          <w:sz w:val="21"/>
          <w:szCs w:val="21"/>
        </w:rPr>
        <w:t xml:space="preserve">Победители: </w:t>
      </w:r>
      <w:r>
        <w:rPr>
          <w:rFonts w:ascii="Aptos" w:cs="Aptos" w:eastAsia="Aptos" w:hAnsi="Aptos"/>
          <w:color w:val="1A1A1A"/>
          <w:sz w:val="21"/>
          <w:szCs w:val="21"/>
        </w:rPr>
        <w:t xml:space="preserve">интеграторы комплексных решений и BIM-платформы — те, кто может подтвердить эффект данными, а не описанием.</w:t>
      </w:r>
    </w:p>
    <w:p>
      <w:pPr>
        <w:spacing w:after="140" w:line="300"/>
        <w:jc w:val="left"/>
      </w:pPr>
      <w:r>
        <w:rPr>
          <w:rFonts w:ascii="Aptos" w:cs="Aptos" w:eastAsia="Aptos" w:hAnsi="Aptos"/>
          <w:b/>
          <w:bCs/>
          <w:color w:val="1A1A1A"/>
          <w:sz w:val="21"/>
          <w:szCs w:val="21"/>
        </w:rPr>
        <w:t xml:space="preserve">Проигравшие: </w:t>
      </w:r>
      <w:r>
        <w:rPr>
          <w:rFonts w:ascii="Aptos" w:cs="Aptos" w:eastAsia="Aptos" w:hAnsi="Aptos"/>
          <w:color w:val="1A1A1A"/>
          <w:sz w:val="21"/>
          <w:szCs w:val="21"/>
        </w:rPr>
        <w:t xml:space="preserve">однопродуктовые компании без консультационной компетенции, не успевающие нарастить сервисный слой.</w:t>
      </w:r>
    </w:p>
    <w:p>
      <w:pPr>
        <w:spacing w:after="140" w:line="300"/>
        <w:jc w:val="left"/>
      </w:pPr>
      <w:r>
        <w:rPr>
          <w:rFonts w:ascii="Aptos" w:cs="Aptos" w:eastAsia="Aptos" w:hAnsi="Aptos"/>
          <w:b/>
          <w:bCs/>
          <w:color w:val="1A1A1A"/>
          <w:sz w:val="21"/>
          <w:szCs w:val="21"/>
        </w:rPr>
        <w:t xml:space="preserve">Последствия для СНГ: </w:t>
      </w:r>
      <w:r>
        <w:rPr>
          <w:rFonts w:ascii="Aptos" w:cs="Aptos" w:eastAsia="Aptos" w:hAnsi="Aptos"/>
          <w:color w:val="1A1A1A"/>
          <w:sz w:val="21"/>
          <w:szCs w:val="21"/>
        </w:rPr>
        <w:t xml:space="preserve">спрос на локальную сертификацию резко обгоняет предложение — компания, уже имеющая аккредитованный протокол на момент ускорения, получает несоразмерное конкурентное преимущество.</w:t>
      </w:r>
    </w:p>
    <w:p>
      <w:pPr>
        <w:pStyle w:val="Heading3"/>
        <w:spacing w:after="90" w:before="180"/>
      </w:pPr>
      <w:r>
        <w:rPr>
          <w:rFonts w:ascii="Aptos" w:cs="Aptos" w:eastAsia="Aptos" w:hAnsi="Aptos"/>
          <w:b/>
          <w:bCs/>
          <w:color w:val="B4823C"/>
          <w:sz w:val="22"/>
          <w:szCs w:val="22"/>
        </w:rPr>
        <w:t xml:space="preserve">Сценарий 3 — кризисный: «Коммодитизация и сжатие бюджетов»</w:t>
      </w:r>
    </w:p>
    <w:p>
      <w:pPr>
        <w:spacing w:after="140" w:line="300"/>
        <w:jc w:val="left"/>
      </w:pPr>
      <w:r>
        <w:rPr>
          <w:rFonts w:ascii="Aptos" w:cs="Aptos" w:eastAsia="Aptos" w:hAnsi="Aptos"/>
          <w:b/>
          <w:bCs/>
          <w:color w:val="1A1A1A"/>
          <w:sz w:val="21"/>
          <w:szCs w:val="21"/>
        </w:rPr>
        <w:t xml:space="preserve">Триггер: </w:t>
      </w:r>
      <w:r>
        <w:rPr>
          <w:rFonts w:ascii="Aptos" w:cs="Aptos" w:eastAsia="Aptos" w:hAnsi="Aptos"/>
          <w:color w:val="1A1A1A"/>
          <w:sz w:val="21"/>
          <w:szCs w:val="21"/>
        </w:rPr>
        <w:t xml:space="preserve">удорожание капитала, падение объёмов нового строительства и fit-out, перенос бюджетов девелоперов на обязательные инженерные системы в ущерб «необязательной» отделке.</w:t>
      </w:r>
    </w:p>
    <w:p>
      <w:pPr>
        <w:spacing w:after="140" w:line="300"/>
        <w:jc w:val="left"/>
      </w:pPr>
      <w:r>
        <w:rPr>
          <w:rFonts w:ascii="Aptos" w:cs="Aptos" w:eastAsia="Aptos" w:hAnsi="Aptos"/>
          <w:b/>
          <w:bCs/>
          <w:color w:val="1A1A1A"/>
          <w:sz w:val="21"/>
          <w:szCs w:val="21"/>
        </w:rPr>
        <w:t xml:space="preserve">Победители: </w:t>
      </w:r>
      <w:r>
        <w:rPr>
          <w:rFonts w:ascii="Aptos" w:cs="Aptos" w:eastAsia="Aptos" w:hAnsi="Aptos"/>
          <w:color w:val="1A1A1A"/>
          <w:sz w:val="21"/>
          <w:szCs w:val="21"/>
        </w:rPr>
        <w:t xml:space="preserve">крупные производители с эффектом масштаба на типовом продукте (панель как товар), а также сервис верификации — он нужен независимо от объёма нового строительства, поскольку обслуживает существующий фонд объектов.</w:t>
      </w:r>
    </w:p>
    <w:p>
      <w:pPr>
        <w:spacing w:after="140" w:line="300"/>
        <w:jc w:val="left"/>
      </w:pPr>
      <w:r>
        <w:rPr>
          <w:rFonts w:ascii="Aptos" w:cs="Aptos" w:eastAsia="Aptos" w:hAnsi="Aptos"/>
          <w:b/>
          <w:bCs/>
          <w:color w:val="1A1A1A"/>
          <w:sz w:val="21"/>
          <w:szCs w:val="21"/>
        </w:rPr>
        <w:t xml:space="preserve">Проигравшие: </w:t>
      </w:r>
      <w:r>
        <w:rPr>
          <w:rFonts w:ascii="Aptos" w:cs="Aptos" w:eastAsia="Aptos" w:hAnsi="Aptos"/>
          <w:color w:val="1A1A1A"/>
          <w:sz w:val="21"/>
          <w:szCs w:val="21"/>
        </w:rPr>
        <w:t xml:space="preserve">игроки среднего размера без ценового преимущества и без уникальной сервисной надстройки — оказываются между дешёвым массовым продуктом и премиальным комплексным решением.</w:t>
      </w:r>
    </w:p>
    <w:p>
      <w:pPr>
        <w:spacing w:after="140" w:line="300"/>
        <w:jc w:val="left"/>
      </w:pPr>
      <w:r>
        <w:rPr>
          <w:rFonts w:ascii="Aptos" w:cs="Aptos" w:eastAsia="Aptos" w:hAnsi="Aptos"/>
          <w:b/>
          <w:bCs/>
          <w:color w:val="1A1A1A"/>
          <w:sz w:val="21"/>
          <w:szCs w:val="21"/>
        </w:rPr>
        <w:t xml:space="preserve">Последствия для СНГ: </w:t>
      </w:r>
      <w:r>
        <w:rPr>
          <w:rFonts w:ascii="Aptos" w:cs="Aptos" w:eastAsia="Aptos" w:hAnsi="Aptos"/>
          <w:color w:val="1A1A1A"/>
          <w:sz w:val="21"/>
          <w:szCs w:val="21"/>
        </w:rPr>
        <w:t xml:space="preserve">при этом сценарии выигрывает не количество запущенных ниш, а глубина специализации в одной — компания, распылившая ресурсы на все ниши сразу (см. раздел 18), рискует не довести до сертификации ни одну.</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B4823C" w:sz="24"/>
              <w:bottom w:val="none"/>
              <w:right w:val="none"/>
            </w:tcBorders>
            <w:shd w:fill="FBF3E7" w:color="auto" w:val="clear"/>
            <w:tcMar>
              <w:top w:type="dxa" w:w="160"/>
              <w:left w:type="dxa" w:w="240"/>
              <w:bottom w:type="dxa" w:w="160"/>
              <w:right w:type="dxa" w:w="260"/>
            </w:tcMar>
          </w:tcPr>
          <w:p>
            <w:pPr>
              <w:spacing w:after="60"/>
            </w:pPr>
            <w:r>
              <w:rPr>
                <w:rFonts w:ascii="Aptos" w:cs="Aptos" w:eastAsia="Aptos" w:hAnsi="Aptos"/>
                <w:b/>
                <w:bCs/>
                <w:color w:val="B4823C"/>
                <w:sz w:val="18"/>
                <w:szCs w:val="18"/>
              </w:rPr>
              <w:t xml:space="preserve">МАРКЕР VALMARK — вероятность</w:t>
            </w:r>
          </w:p>
          <w:p>
            <w:pPr>
              <w:spacing w:after="0" w:line="280"/>
            </w:pPr>
            <w:r>
              <w:rPr>
                <w:rFonts w:ascii="Aptos" w:cs="Aptos" w:eastAsia="Aptos" w:hAnsi="Aptos"/>
                <w:color w:val="1A1A1A"/>
                <w:sz w:val="20"/>
                <w:szCs w:val="20"/>
              </w:rPr>
              <w:t xml:space="preserve">Оценка вероятности сценариев в этом докладе дана качественно (базовый / ускоренный / кризисный), без числовой процентной модели — под каждым сценарием нет статистической базы, которая оправдывала бы точность вида «60% вероятности». Это сознательное решение Valmark против ложной точности.</w:t>
            </w:r>
          </w:p>
        </w:tc>
      </w:tr>
    </w:tbl>
    <w:p>
      <w:pPr>
        <w:pStyle w:val="Heading1"/>
        <w:pageBreakBefore/>
        <w:spacing w:after="160" w:before="240"/>
      </w:pPr>
      <w:r>
        <w:rPr>
          <w:rFonts w:ascii="Aptos" w:cs="Aptos" w:eastAsia="Aptos" w:hAnsi="Aptos"/>
          <w:b/>
          <w:bCs/>
          <w:color w:val="2B1D14"/>
          <w:sz w:val="30"/>
          <w:szCs w:val="30"/>
        </w:rPr>
        <w:t xml:space="preserve">Раздел 20. Карта рисков и возможностей</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50"/>
        <w:gridCol w:w="1400"/>
        <w:gridCol w:w="1150"/>
        <w:gridCol w:w="1550"/>
        <w:gridCol w:w="1150"/>
        <w:gridCol w:w="1660"/>
      </w:tblGrid>
      <w:tr>
        <w:trPr>
          <w:cantSplit/>
          <w:tblHeader/>
        </w:trPr>
        <w:tc>
          <w:tcPr>
            <w:tcW w:type="dxa" w:w="24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Фактор</w:t>
            </w:r>
          </w:p>
        </w:tc>
        <w:tc>
          <w:tcPr>
            <w:tcW w:type="dxa" w:w="14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Риск / возможность</w:t>
            </w:r>
          </w:p>
        </w:tc>
        <w:tc>
          <w:tcPr>
            <w:tcW w:type="dxa" w:w="11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Вероятность</w:t>
            </w:r>
          </w:p>
        </w:tc>
        <w:tc>
          <w:tcPr>
            <w:tcW w:type="dxa" w:w="15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Влияние</w:t>
            </w:r>
          </w:p>
        </w:tc>
        <w:tc>
          <w:tcPr>
            <w:tcW w:type="dxa" w:w="11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Горизонт</w:t>
            </w:r>
          </w:p>
        </w:tc>
        <w:tc>
          <w:tcPr>
            <w:tcW w:type="dxa" w:w="16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Контролируемость</w:t>
            </w:r>
          </w:p>
        </w:tc>
      </w:tr>
      <w:tr>
        <w:trPr>
          <w:cantSplit/>
        </w:trPr>
        <w:tc>
          <w:tcPr>
            <w:tcW w:type="dxa" w:w="24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Ужесточение требований WELL/LEED к акустике в среднем сегменте недвижимости</w:t>
            </w:r>
          </w:p>
        </w:tc>
        <w:tc>
          <w:tcPr>
            <w:tcW w:type="dxa" w:w="1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Возможность</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Высокое</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2026–2028</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 — задаётся внешними стандартами</w:t>
            </w:r>
          </w:p>
        </w:tc>
      </w:tr>
      <w:tr>
        <w:trPr>
          <w:cantSplit/>
        </w:trPr>
        <w:tc>
          <w:tcPr>
            <w:tcW w:type="dxa" w:w="24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Появление локальной аккредитованной лаборатории испытаний в СНГ</w:t>
            </w:r>
          </w:p>
        </w:tc>
        <w:tc>
          <w:tcPr>
            <w:tcW w:type="dxa" w:w="1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Возможность</w:t>
            </w:r>
          </w:p>
        </w:tc>
        <w:tc>
          <w:tcPr>
            <w:tcW w:type="dxa" w:w="11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Высокое</w:t>
            </w:r>
          </w:p>
        </w:tc>
        <w:tc>
          <w:tcPr>
            <w:tcW w:type="dxa" w:w="11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2026–2027</w:t>
            </w:r>
          </w:p>
        </w:tc>
        <w:tc>
          <w:tcPr>
            <w:tcW w:type="dxa" w:w="1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можно инициировать самостоятельно или в партнёрстве</w:t>
            </w:r>
          </w:p>
        </w:tc>
      </w:tr>
      <w:tr>
        <w:trPr>
          <w:cantSplit/>
        </w:trPr>
        <w:tc>
          <w:tcPr>
            <w:tcW w:type="dxa" w:w="24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Коммодитизация типовой ПЭТ-панели без протокола</w:t>
            </w:r>
          </w:p>
        </w:tc>
        <w:tc>
          <w:tcPr>
            <w:tcW w:type="dxa" w:w="1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Среднее</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2026–2029</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снижается инвестицией в сертификацию заранее</w:t>
            </w:r>
          </w:p>
        </w:tc>
      </w:tr>
      <w:tr>
        <w:trPr>
          <w:cantSplit/>
        </w:trPr>
        <w:tc>
          <w:tcPr>
            <w:tcW w:type="dxa" w:w="24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Рост параллельного импорта готовых решений при удешевлении логистики</w:t>
            </w:r>
          </w:p>
        </w:tc>
        <w:tc>
          <w:tcPr>
            <w:tcW w:type="dxa" w:w="1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w:t>
            </w:r>
          </w:p>
        </w:tc>
        <w:tc>
          <w:tcPr>
            <w:tcW w:type="dxa" w:w="11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Среднее</w:t>
            </w:r>
          </w:p>
        </w:tc>
        <w:tc>
          <w:tcPr>
            <w:tcW w:type="dxa" w:w="11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2026–2028</w:t>
            </w:r>
          </w:p>
        </w:tc>
        <w:tc>
          <w:tcPr>
            <w:tcW w:type="dxa" w:w="1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Низкая</w:t>
            </w:r>
          </w:p>
        </w:tc>
      </w:tr>
      <w:tr>
        <w:trPr>
          <w:cantSplit/>
        </w:trPr>
        <w:tc>
          <w:tcPr>
            <w:tcW w:type="dxa" w:w="24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Слабая нормативная определённость по Беларуси</w:t>
            </w:r>
          </w:p>
        </w:tc>
        <w:tc>
          <w:tcPr>
            <w:tcW w:type="dxa" w:w="1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Среднее (для экспортных проектов)</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устраняется прямым запросом регулятору</w:t>
            </w:r>
          </w:p>
        </w:tc>
      </w:tr>
      <w:tr>
        <w:trPr>
          <w:cantSplit/>
        </w:trPr>
        <w:tc>
          <w:tcPr>
            <w:tcW w:type="dxa" w:w="24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Предполагаемый дефицит квалифицированных акустических консультантов в регионе (гипотеза для проверки)</w:t>
            </w:r>
          </w:p>
        </w:tc>
        <w:tc>
          <w:tcPr>
            <w:tcW w:type="dxa" w:w="14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 и одновременно возможность для входа в эту роль</w:t>
            </w:r>
          </w:p>
        </w:tc>
        <w:tc>
          <w:tcPr>
            <w:tcW w:type="dxa" w:w="11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Высокое</w:t>
            </w:r>
          </w:p>
        </w:tc>
        <w:tc>
          <w:tcPr>
            <w:tcW w:type="dxa" w:w="11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2026–2030</w:t>
            </w:r>
          </w:p>
        </w:tc>
        <w:tc>
          <w:tcPr>
            <w:tcW w:type="dxa" w:w="16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Средняя — можно обучить или нанять специалистов заранее</w:t>
            </w:r>
          </w:p>
        </w:tc>
      </w:tr>
      <w:tr>
        <w:trPr>
          <w:cantSplit/>
        </w:trPr>
        <w:tc>
          <w:tcPr>
            <w:tcW w:type="dxa" w:w="24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Рост спроса на акустику в HoReCa как неоформленная ниша</w:t>
            </w:r>
          </w:p>
        </w:tc>
        <w:tc>
          <w:tcPr>
            <w:tcW w:type="dxa" w:w="14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Возможность</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w:t>
            </w:r>
          </w:p>
        </w:tc>
        <w:tc>
          <w:tcPr>
            <w:tcW w:type="dxa" w:w="15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Среднее</w:t>
            </w:r>
          </w:p>
        </w:tc>
        <w:tc>
          <w:tcPr>
            <w:tcW w:type="dxa" w:w="11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2026–2027</w:t>
            </w:r>
          </w:p>
        </w:tc>
        <w:tc>
          <w:tcPr>
            <w:tcW w:type="dxa" w:w="16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Высокая — можно занять нишу первым через прямой аудит объектов</w:t>
            </w:r>
          </w:p>
        </w:tc>
      </w:tr>
    </w:tbl>
    <w:p>
      <w:pPr>
        <w:pStyle w:val="Heading1"/>
        <w:pageBreakBefore/>
        <w:spacing w:after="160" w:before="240"/>
      </w:pPr>
      <w:r>
        <w:rPr>
          <w:rFonts w:ascii="Aptos" w:cs="Aptos" w:eastAsia="Aptos" w:hAnsi="Aptos"/>
          <w:b/>
          <w:bCs/>
          <w:color w:val="2B1D14"/>
          <w:sz w:val="30"/>
          <w:szCs w:val="30"/>
        </w:rPr>
        <w:t xml:space="preserve">Раздел 21. Давление на решения (Decision Pressure)</w:t>
      </w:r>
    </w:p>
    <w:p>
      <w:pPr>
        <w:pStyle w:val="Heading3"/>
        <w:spacing w:after="90" w:before="180"/>
      </w:pPr>
      <w:r>
        <w:rPr>
          <w:rFonts w:ascii="Aptos" w:cs="Aptos" w:eastAsia="Aptos" w:hAnsi="Aptos"/>
          <w:b/>
          <w:bCs/>
          <w:color w:val="B4823C"/>
          <w:sz w:val="22"/>
          <w:szCs w:val="22"/>
        </w:rPr>
        <w:t xml:space="preserve">Мебельной фабрике</w:t>
      </w:r>
    </w:p>
    <w:p>
      <w:pPr>
        <w:spacing w:after="140" w:line="300"/>
        <w:jc w:val="left"/>
      </w:pPr>
      <w:r>
        <w:rPr>
          <w:rFonts w:ascii="Aptos" w:cs="Aptos" w:eastAsia="Aptos" w:hAnsi="Aptos"/>
          <w:color w:val="1A1A1A"/>
          <w:sz w:val="21"/>
          <w:szCs w:val="21"/>
        </w:rPr>
        <w:t xml:space="preserve">Если фабрика не получит протокол испытаний (измерение по ISO 354 с последующей классификацией αw по ISO 11654, либо отдельное испытание и расчёт NRC/SAA по ASTM C423, плюс пожарный класс) на профильную акустическую продукцию до конца 2027 года, она рискует потерять доступ к тендерам на объекты, проходящие сертификацию WELL/LEED/BREEAM или имеющие эквивалентное корпоративное требование, потому что спецификаторы таких проектов всё чаще требуют не образец, а документ.</w:t>
      </w:r>
    </w:p>
    <w:p>
      <w:pPr>
        <w:pStyle w:val="Heading3"/>
        <w:spacing w:after="90" w:before="180"/>
      </w:pPr>
      <w:r>
        <w:rPr>
          <w:rFonts w:ascii="Aptos" w:cs="Aptos" w:eastAsia="Aptos" w:hAnsi="Aptos"/>
          <w:b/>
          <w:bCs/>
          <w:color w:val="B4823C"/>
          <w:sz w:val="22"/>
          <w:szCs w:val="22"/>
        </w:rPr>
        <w:t xml:space="preserve">Производителю материалов</w:t>
      </w:r>
    </w:p>
    <w:p>
      <w:pPr>
        <w:spacing w:after="140" w:line="300"/>
        <w:jc w:val="left"/>
      </w:pPr>
      <w:r>
        <w:rPr>
          <w:rFonts w:ascii="Aptos" w:cs="Aptos" w:eastAsia="Aptos" w:hAnsi="Aptos"/>
          <w:color w:val="1A1A1A"/>
          <w:sz w:val="21"/>
          <w:szCs w:val="21"/>
        </w:rPr>
        <w:t xml:space="preserve">Если производитель ПЭТ-войлока не дифференцирует продукт через переработанное содержание с EPD, он потеряет ценовую премию, потому что рынок движется к тому, что «переработанный ПЭТ» станет ожидаемым базовым свойством, а не отличием — и конкурировать придётся уже только по цене.</w:t>
      </w:r>
    </w:p>
    <w:p>
      <w:pPr>
        <w:pStyle w:val="Heading3"/>
        <w:spacing w:after="90" w:before="180"/>
      </w:pPr>
      <w:r>
        <w:rPr>
          <w:rFonts w:ascii="Aptos" w:cs="Aptos" w:eastAsia="Aptos" w:hAnsi="Aptos"/>
          <w:b/>
          <w:bCs/>
          <w:color w:val="B4823C"/>
          <w:sz w:val="22"/>
          <w:szCs w:val="22"/>
        </w:rPr>
        <w:t xml:space="preserve">Девелоперу</w:t>
      </w:r>
    </w:p>
    <w:p>
      <w:pPr>
        <w:spacing w:after="140" w:line="300"/>
        <w:jc w:val="left"/>
      </w:pPr>
      <w:r>
        <w:rPr>
          <w:rFonts w:ascii="Aptos" w:cs="Aptos" w:eastAsia="Aptos" w:hAnsi="Aptos"/>
          <w:color w:val="1A1A1A"/>
          <w:sz w:val="21"/>
          <w:szCs w:val="21"/>
        </w:rPr>
        <w:t xml:space="preserve">Если девелопер не включит акустический расчёт в техническое задание на этапе проектирования, он потеряет деньги на переделке отделки после сдачи объекта, потому что жалобы арендаторов на шум в открытой планировке становятся системными, а не единичными, и решаются не декором, а перерасчётом.</w:t>
      </w:r>
    </w:p>
    <w:p>
      <w:pPr>
        <w:pStyle w:val="Heading3"/>
        <w:spacing w:after="90" w:before="180"/>
      </w:pPr>
      <w:r>
        <w:rPr>
          <w:rFonts w:ascii="Aptos" w:cs="Aptos" w:eastAsia="Aptos" w:hAnsi="Aptos"/>
          <w:b/>
          <w:bCs/>
          <w:color w:val="B4823C"/>
          <w:sz w:val="22"/>
          <w:szCs w:val="22"/>
        </w:rPr>
        <w:t xml:space="preserve">Архитектору</w:t>
      </w:r>
    </w:p>
    <w:p>
      <w:pPr>
        <w:spacing w:after="140" w:line="300"/>
        <w:jc w:val="left"/>
      </w:pPr>
      <w:r>
        <w:rPr>
          <w:rFonts w:ascii="Aptos" w:cs="Aptos" w:eastAsia="Aptos" w:hAnsi="Aptos"/>
          <w:color w:val="1A1A1A"/>
          <w:sz w:val="21"/>
          <w:szCs w:val="21"/>
        </w:rPr>
        <w:t xml:space="preserve">Если архитектурное бюро не выстроит партнёрство с акустическим консультантом на постоянной основе, оно рискует терять часть проектов, требующих сертификации WELL/LEED/BREEAM или корпоративного акустического стандарта заказчика, в пользу бюро, которые могут гарантировать сертификационный результат, потому что для таких проектов акустика превращается в проверяемый критерий, а не в вопрос вкуса.</w:t>
      </w:r>
    </w:p>
    <w:p>
      <w:pPr>
        <w:pStyle w:val="Heading3"/>
        <w:spacing w:after="90" w:before="180"/>
      </w:pPr>
      <w:r>
        <w:rPr>
          <w:rFonts w:ascii="Aptos" w:cs="Aptos" w:eastAsia="Aptos" w:hAnsi="Aptos"/>
          <w:b/>
          <w:bCs/>
          <w:color w:val="B4823C"/>
          <w:sz w:val="22"/>
          <w:szCs w:val="22"/>
        </w:rPr>
        <w:t xml:space="preserve">Комплектатору/дистрибьютору</w:t>
      </w:r>
    </w:p>
    <w:p>
      <w:pPr>
        <w:spacing w:after="140" w:line="300"/>
        <w:jc w:val="left"/>
      </w:pPr>
      <w:r>
        <w:rPr>
          <w:rFonts w:ascii="Aptos" w:cs="Aptos" w:eastAsia="Aptos" w:hAnsi="Aptos"/>
          <w:color w:val="1A1A1A"/>
          <w:sz w:val="21"/>
          <w:szCs w:val="21"/>
        </w:rPr>
        <w:t xml:space="preserve">Если дистрибьютор продолжит продавать акустические изделия только по каталогу без расчётной поддержки, он потеряет клиента в пользу интегратора, который предложит продукт вместе с расчётом, потому что заказчик всё чаще покупает решение проблемы, а не отдельный товар.</w:t>
      </w:r>
    </w:p>
    <w:p>
      <w:pPr>
        <w:pStyle w:val="Heading3"/>
        <w:spacing w:after="90" w:before="180"/>
      </w:pPr>
      <w:r>
        <w:rPr>
          <w:rFonts w:ascii="Aptos" w:cs="Aptos" w:eastAsia="Aptos" w:hAnsi="Aptos"/>
          <w:b/>
          <w:bCs/>
          <w:color w:val="B4823C"/>
          <w:sz w:val="22"/>
          <w:szCs w:val="22"/>
        </w:rPr>
        <w:t xml:space="preserve">Инвестору</w:t>
      </w:r>
    </w:p>
    <w:p>
      <w:pPr>
        <w:spacing w:after="140" w:line="300"/>
        <w:jc w:val="left"/>
      </w:pPr>
      <w:r>
        <w:rPr>
          <w:rFonts w:ascii="Aptos" w:cs="Aptos" w:eastAsia="Aptos" w:hAnsi="Aptos"/>
          <w:color w:val="1A1A1A"/>
          <w:sz w:val="21"/>
          <w:szCs w:val="21"/>
        </w:rPr>
        <w:t xml:space="preserve">Если инвестор в недвижимость не потребует акустический аудит объекта при оценке портфеля, он рискует переплатить за актив, скрытая проблема которого (жалобы арендаторов, риск оттока) проявится уже после покупки, потому что акустика — один из немногих параметров качества здания, который не виден на стадии due diligence без отдельного замера.</w:t>
      </w:r>
    </w:p>
    <w:p>
      <w:pPr>
        <w:pStyle w:val="Heading1"/>
        <w:pageBreakBefore/>
        <w:spacing w:after="160" w:before="240"/>
      </w:pPr>
      <w:r>
        <w:rPr>
          <w:rFonts w:ascii="Aptos" w:cs="Aptos" w:eastAsia="Aptos" w:hAnsi="Aptos"/>
          <w:b/>
          <w:bCs/>
          <w:color w:val="2B1D14"/>
          <w:sz w:val="30"/>
          <w:szCs w:val="30"/>
        </w:rPr>
        <w:t xml:space="preserve">Раздел 22. Что делать в ближайшие 12 месяцев</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1750"/>
        <w:gridCol w:w="2650"/>
        <w:gridCol w:w="2460"/>
      </w:tblGrid>
      <w:tr>
        <w:trPr>
          <w:cantSplit/>
          <w:tblHeader/>
        </w:trPr>
        <w:tc>
          <w:tcPr>
            <w:tcW w:type="dxa" w:w="25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Решение</w:t>
            </w:r>
          </w:p>
        </w:tc>
        <w:tc>
          <w:tcPr>
            <w:tcW w:type="dxa" w:w="17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Для кого</w:t>
            </w:r>
          </w:p>
        </w:tc>
        <w:tc>
          <w:tcPr>
            <w:tcW w:type="dxa" w:w="26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Зачем</w:t>
            </w:r>
          </w:p>
        </w:tc>
        <w:tc>
          <w:tcPr>
            <w:tcW w:type="dxa" w:w="24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Что будет, если не сделать</w:t>
            </w:r>
          </w:p>
        </w:tc>
      </w:tr>
      <w:tr>
        <w:trPr>
          <w:cantSplit/>
        </w:trPr>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Получить протокол NRC/αw и пожарный сертификат на 1–2 ключевых SKU</w:t>
            </w:r>
          </w:p>
        </w:tc>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Мебельная фабрика, производитель материала</w:t>
            </w:r>
          </w:p>
        </w:tc>
        <w:tc>
          <w:tcPr>
            <w:tcW w:type="dxa" w:w="2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Открывает доступ к тендерам объектов класса А</w:t>
            </w:r>
          </w:p>
        </w:tc>
        <w:tc>
          <w:tcPr>
            <w:tcW w:type="dxa" w:w="24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Сохранение только ценовой конкуренции в нижнем сегменте</w:t>
            </w:r>
          </w:p>
        </w:tc>
      </w:tr>
      <w:tr>
        <w:trPr>
          <w:cantSplit/>
        </w:trPr>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Выбрать одну входную нишу (не все сразу) и довести её до сертифицированного продукта</w:t>
            </w:r>
          </w:p>
        </w:tc>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планирующий вход в акустический сегмент</w:t>
            </w:r>
          </w:p>
        </w:tc>
        <w:tc>
          <w:tcPr>
            <w:tcW w:type="dxa" w:w="2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Концентрация ресурсов даёт результат быстрее, чем распыление по всей матрице раздела 18</w:t>
            </w:r>
          </w:p>
        </w:tc>
        <w:tc>
          <w:tcPr>
            <w:tcW w:type="dxa" w:w="24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 не довести до готовности ни одну нишу</w:t>
            </w:r>
          </w:p>
        </w:tc>
      </w:tr>
      <w:tr>
        <w:trPr>
          <w:cantSplit/>
        </w:trPr>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Провести пилотный акустический аудит 3–5 объектов HoReCa или офисов как демонстрационные кейсы</w:t>
            </w:r>
          </w:p>
        </w:tc>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консультант, интегратор</w:t>
            </w:r>
          </w:p>
        </w:tc>
        <w:tc>
          <w:tcPr>
            <w:tcW w:type="dxa" w:w="2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Наглядный кейс «до/после» продаёт лучше каталога</w:t>
            </w:r>
          </w:p>
        </w:tc>
        <w:tc>
          <w:tcPr>
            <w:tcW w:type="dxa" w:w="24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Продажа остаётся на уровне убеждения, а не доказательства</w:t>
            </w:r>
          </w:p>
        </w:tc>
      </w:tr>
      <w:tr>
        <w:trPr>
          <w:cantSplit/>
        </w:trPr>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Встроиться в один BIM-каталог или наладить прямой канал с 2–3 архитектурными бюро</w:t>
            </w:r>
          </w:p>
        </w:tc>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готовых решений</w:t>
            </w:r>
          </w:p>
        </w:tc>
        <w:tc>
          <w:tcPr>
            <w:tcW w:type="dxa" w:w="2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Канал видимости определяет, увидит ли архитектор продукт вообще</w:t>
            </w:r>
          </w:p>
        </w:tc>
        <w:tc>
          <w:tcPr>
            <w:tcW w:type="dxa" w:w="24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Продукт остаётся невидимым для крупных проектов независимо от качества</w:t>
            </w:r>
          </w:p>
        </w:tc>
      </w:tr>
      <w:tr>
        <w:trPr>
          <w:cantSplit/>
        </w:trPr>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Оценить целесообразность создания или партнёрства с испытательной лабораторией в регионе</w:t>
            </w:r>
          </w:p>
        </w:tc>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Отраслевая ассоциация, крупный производитель, инвестор</w:t>
            </w:r>
          </w:p>
        </w:tc>
        <w:tc>
          <w:tcPr>
            <w:tcW w:type="dxa" w:w="2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 гипотезе Valmark, требующей проверки, может закрыть предполагаемую вакантную роль верификатора в СНГ — потенциальный источник регулярного дохода</w:t>
            </w:r>
          </w:p>
        </w:tc>
        <w:tc>
          <w:tcPr>
            <w:tcW w:type="dxa" w:w="24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Если гипотеза верна и решение отложено, роль вероятнее займёт зарубежный аккредитационный орган на менее выгодных для локального рынка условиях</w:t>
            </w:r>
          </w:p>
        </w:tc>
      </w:tr>
      <w:tr>
        <w:trPr>
          <w:cantSplit/>
        </w:trPr>
        <w:tc>
          <w:tcPr>
            <w:tcW w:type="dxa" w:w="2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Уточнить действующий перечень нормативов по защите от шума в Республике Беларусь напрямую у регулятора</w:t>
            </w:r>
          </w:p>
        </w:tc>
        <w:tc>
          <w:tcPr>
            <w:tcW w:type="dxa" w:w="17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Компании с экспортными планами в РБ и страны ЕАЭС</w:t>
            </w:r>
          </w:p>
        </w:tc>
        <w:tc>
          <w:tcPr>
            <w:tcW w:type="dxa" w:w="2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Устраняет риск несоответствия локальному требованию при выходе на новый рынок</w:t>
            </w:r>
          </w:p>
        </w:tc>
        <w:tc>
          <w:tcPr>
            <w:tcW w:type="dxa" w:w="24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Риск отказа в согласовании проекта на позднем этапе</w:t>
            </w:r>
          </w:p>
        </w:tc>
      </w:tr>
      <w:tr>
        <w:trPr>
          <w:cantSplit/>
        </w:trPr>
        <w:tc>
          <w:tcPr>
            <w:tcW w:type="dxa" w:w="2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Обучить или нанять минимум одного штатного специалиста по акустическому расчёту</w:t>
            </w:r>
          </w:p>
        </w:tc>
        <w:tc>
          <w:tcPr>
            <w:tcW w:type="dxa" w:w="17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Производитель, планирующий продавать решение, а не только изделие</w:t>
            </w:r>
          </w:p>
        </w:tc>
        <w:tc>
          <w:tcPr>
            <w:tcW w:type="dxa" w:w="2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Дефицит консультантов в регионе — это одновременно риск и возможность занять эту роль самому</w:t>
            </w:r>
          </w:p>
        </w:tc>
        <w:tc>
          <w:tcPr>
            <w:tcW w:type="dxa" w:w="24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Зависимость от внешних консультантов и потеря части маржи в их пользу</w:t>
            </w:r>
          </w:p>
        </w:tc>
      </w:tr>
    </w:tbl>
    <w:p>
      <w:pPr>
        <w:pStyle w:val="Heading1"/>
        <w:pageBreakBefore/>
        <w:spacing w:after="160" w:before="240"/>
      </w:pPr>
      <w:r>
        <w:rPr>
          <w:rFonts w:ascii="Aptos" w:cs="Aptos" w:eastAsia="Aptos" w:hAnsi="Aptos"/>
          <w:b/>
          <w:bCs/>
          <w:color w:val="2B1D14"/>
          <w:sz w:val="30"/>
          <w:szCs w:val="30"/>
        </w:rPr>
        <w:t xml:space="preserve">Финальные выводы</w:t>
      </w:r>
    </w:p>
    <w:p>
      <w:pPr>
        <w:pStyle w:val="Heading3"/>
        <w:spacing w:after="90" w:before="180"/>
      </w:pPr>
      <w:r>
        <w:rPr>
          <w:rFonts w:ascii="Aptos" w:cs="Aptos" w:eastAsia="Aptos" w:hAnsi="Aptos"/>
          <w:b/>
          <w:bCs/>
          <w:color w:val="B4823C"/>
          <w:sz w:val="22"/>
          <w:szCs w:val="22"/>
        </w:rPr>
        <w:t xml:space="preserve">7 ключевых выводов</w:t>
      </w:r>
    </w:p>
    <w:p>
      <w:pPr>
        <w:pStyle w:val="ListParagraph"/>
        <w:numPr>
          <w:ilvl w:val="0"/>
          <w:numId w:val="2"/>
        </w:numPr>
        <w:spacing w:after="100" w:line="290"/>
      </w:pPr>
      <w:r>
        <w:rPr>
          <w:rFonts w:ascii="Aptos" w:cs="Aptos" w:eastAsia="Aptos" w:hAnsi="Aptos"/>
          <w:color w:val="1A1A1A"/>
          <w:sz w:val="21"/>
          <w:szCs w:val="21"/>
        </w:rPr>
        <w:t xml:space="preserve">Акустика перестаёт быть декоративной опцией и становится расчётным требованием допуска в проект. Это меняет, кто вообще может участвовать в тендере: поставщики без протокола испытаний системно теряют доступ к объектам, проходящим сертификацию или имеющим корпоративное акустическое требование.</w:t>
      </w:r>
    </w:p>
    <w:p>
      <w:pPr>
        <w:pStyle w:val="ListParagraph"/>
        <w:numPr>
          <w:ilvl w:val="0"/>
          <w:numId w:val="2"/>
        </w:numPr>
        <w:spacing w:after="100" w:line="290"/>
      </w:pPr>
      <w:r>
        <w:rPr>
          <w:rFonts w:ascii="Aptos" w:cs="Aptos" w:eastAsia="Aptos" w:hAnsi="Aptos"/>
          <w:color w:val="1A1A1A"/>
          <w:sz w:val="21"/>
          <w:szCs w:val="21"/>
        </w:rPr>
        <w:t xml:space="preserve">Научная база наиболее убедительна для отвлечения, приватности и субъективной продуктивности (подтверждено лонгитюдным исследованием); влияние интерьерного офисного шума на физиологический стресс остаётся вероятной, но недостаточно подтверждённой зависимостью, а количественная оценка ROI в отрасли — модельной, а не эмпирически доказанной. Поэтому обещание точного финансового эффекта клиенту создаёт репутационный риск для поставщика.</w:t>
      </w:r>
    </w:p>
    <w:p>
      <w:pPr>
        <w:pStyle w:val="ListParagraph"/>
        <w:numPr>
          <w:ilvl w:val="0"/>
          <w:numId w:val="2"/>
        </w:numPr>
        <w:spacing w:after="100" w:line="290"/>
      </w:pPr>
      <w:r>
        <w:rPr>
          <w:rFonts w:ascii="Aptos" w:cs="Aptos" w:eastAsia="Aptos" w:hAnsi="Aptos"/>
          <w:color w:val="1A1A1A"/>
          <w:sz w:val="21"/>
          <w:szCs w:val="21"/>
        </w:rPr>
        <w:t xml:space="preserve">Рынок акустических панелей методологически раздроблен: даже две сопоставимые по методологии серии (GMI и FBI) сходятся только в порядке величины на 2026 год (≈9,1 млрд долл.), а более широкая категория даёт иные цифры к 2030 году (≈20 млрд у SMR). Смешивать эти серии нельзя: бизнес-планирование должно опираться на конкретную именованную серию с понятной границей категории, а не на среднюю по всем найденным отчётам.</w:t>
      </w:r>
    </w:p>
    <w:p>
      <w:pPr>
        <w:pStyle w:val="ListParagraph"/>
        <w:numPr>
          <w:ilvl w:val="0"/>
          <w:numId w:val="2"/>
        </w:numPr>
        <w:spacing w:after="100" w:line="290"/>
      </w:pPr>
      <w:r>
        <w:rPr>
          <w:rFonts w:ascii="Aptos" w:cs="Aptos" w:eastAsia="Aptos" w:hAnsi="Aptos"/>
          <w:color w:val="1A1A1A"/>
          <w:sz w:val="21"/>
          <w:szCs w:val="21"/>
        </w:rPr>
        <w:t xml:space="preserve">PET-войлок технологически и экологически предпочтителен, но количественная оценка его глобального рынка недостоверна ни у одного источника. Поэтому инвестиционные решения по этому сегменту нельзя обосновывать чужой рыночной цифрой — нужен собственный анализ спроса на уровне объекта или региона.</w:t>
      </w:r>
    </w:p>
    <w:p>
      <w:pPr>
        <w:pStyle w:val="ListParagraph"/>
        <w:numPr>
          <w:ilvl w:val="0"/>
          <w:numId w:val="2"/>
        </w:numPr>
        <w:spacing w:after="100" w:line="290"/>
      </w:pPr>
      <w:r>
        <w:rPr>
          <w:rFonts w:ascii="Aptos" w:cs="Aptos" w:eastAsia="Aptos" w:hAnsi="Aptos"/>
          <w:color w:val="1A1A1A"/>
          <w:sz w:val="21"/>
          <w:szCs w:val="21"/>
        </w:rPr>
        <w:t xml:space="preserve">Нормативная среда (WELL, LEED, BREEAM, СП 51.13330) работает как фильтр допуска для проектов, которые сами проходят сертификацию или имеют эквивалентное корпоративное требование. Для этой части рынка несоответствие может исключить поставщика ещё до решения архитектора — сертификация становится не расходом, а условием присутствия именно в этом сегменте.</w:t>
      </w:r>
    </w:p>
    <w:p>
      <w:pPr>
        <w:pStyle w:val="ListParagraph"/>
        <w:numPr>
          <w:ilvl w:val="0"/>
          <w:numId w:val="2"/>
        </w:numPr>
        <w:spacing w:after="100" w:line="290"/>
      </w:pPr>
      <w:r>
        <w:rPr>
          <w:rFonts w:ascii="Aptos" w:cs="Aptos" w:eastAsia="Aptos" w:hAnsi="Aptos"/>
          <w:color w:val="1A1A1A"/>
          <w:sz w:val="21"/>
          <w:szCs w:val="21"/>
        </w:rPr>
        <w:t xml:space="preserve">Центр контроля — связка акустического консультанта, спецификации и BIM-каталога, а не отдельный производитель. В СНГ эта роль, по рабочей гипотезе Valmark, не подтверждённой прямыми региональными данными, структурно вакантна; первый, кто закроет её системно и подтвердит это фактическими данными, получает долгосрочное конкурентное преимущество, а не разовую продажу.</w:t>
      </w:r>
    </w:p>
    <w:p>
      <w:pPr>
        <w:pStyle w:val="ListParagraph"/>
        <w:numPr>
          <w:ilvl w:val="0"/>
          <w:numId w:val="2"/>
        </w:numPr>
        <w:spacing w:after="100" w:line="290"/>
      </w:pPr>
      <w:r>
        <w:rPr>
          <w:rFonts w:ascii="Aptos" w:cs="Aptos" w:eastAsia="Aptos" w:hAnsi="Aptos"/>
          <w:color w:val="1A1A1A"/>
          <w:sz w:val="21"/>
          <w:szCs w:val="21"/>
        </w:rPr>
        <w:t xml:space="preserve">Коммодитизация угрожает типовому продукту без сертификации, но не угрожает комплексному решению с расчётом и сервисом. На этом рынке выживает не самый дешёвый игрок, а самый способный доказать заявленный эффект.</w:t>
      </w:r>
    </w:p>
    <w:p>
      <w:pPr>
        <w:pStyle w:val="Heading3"/>
        <w:spacing w:after="90" w:before="180"/>
      </w:pPr>
      <w:r>
        <w:rPr>
          <w:rFonts w:ascii="Aptos" w:cs="Aptos" w:eastAsia="Aptos" w:hAnsi="Aptos"/>
          <w:b/>
          <w:bCs/>
          <w:color w:val="B4823C"/>
          <w:sz w:val="22"/>
          <w:szCs w:val="22"/>
        </w:rPr>
        <w:t xml:space="preserve">3 неизбежных решения на 2026–2027 годы</w:t>
      </w:r>
    </w:p>
    <w:p>
      <w:pPr>
        <w:pStyle w:val="ListParagraph"/>
        <w:numPr>
          <w:ilvl w:val="0"/>
          <w:numId w:val="2"/>
        </w:numPr>
        <w:spacing w:after="100" w:line="290"/>
      </w:pPr>
      <w:r>
        <w:rPr>
          <w:rFonts w:ascii="Aptos" w:cs="Aptos" w:eastAsia="Aptos" w:hAnsi="Aptos"/>
          <w:color w:val="1A1A1A"/>
          <w:sz w:val="21"/>
          <w:szCs w:val="21"/>
        </w:rPr>
        <w:t xml:space="preserve">Получить протокол испытаний на профильную продукцию — без этого разговор со спецификатором крупного объекта не начинается в принципе.</w:t>
      </w:r>
    </w:p>
    <w:p>
      <w:pPr>
        <w:pStyle w:val="ListParagraph"/>
        <w:numPr>
          <w:ilvl w:val="0"/>
          <w:numId w:val="2"/>
        </w:numPr>
        <w:spacing w:after="100" w:line="290"/>
      </w:pPr>
      <w:r>
        <w:rPr>
          <w:rFonts w:ascii="Aptos" w:cs="Aptos" w:eastAsia="Aptos" w:hAnsi="Aptos"/>
          <w:color w:val="1A1A1A"/>
          <w:sz w:val="21"/>
          <w:szCs w:val="21"/>
        </w:rPr>
        <w:t xml:space="preserve">Сконцентрироваться на одной входной нише вместо равномерного распыления по всей продуктовой матрице — концентрация даёт сертифицированный результат быстрее, чем попытка закрыть весь рынок сразу.</w:t>
      </w:r>
    </w:p>
    <w:p>
      <w:pPr>
        <w:pStyle w:val="ListParagraph"/>
        <w:numPr>
          <w:ilvl w:val="0"/>
          <w:numId w:val="2"/>
        </w:numPr>
        <w:spacing w:after="100" w:line="290"/>
      </w:pPr>
      <w:r>
        <w:rPr>
          <w:rFonts w:ascii="Aptos" w:cs="Aptos" w:eastAsia="Aptos" w:hAnsi="Aptos"/>
          <w:color w:val="1A1A1A"/>
          <w:sz w:val="21"/>
          <w:szCs w:val="21"/>
        </w:rPr>
        <w:t xml:space="preserve">Выстроить канал через акустических консультантов и BIM-интеграторов как основной путь продаж, а не как техническую формальность в конце сделки.</w:t>
      </w:r>
    </w:p>
    <w:p>
      <w:pPr>
        <w:pStyle w:val="Heading3"/>
        <w:spacing w:after="90" w:before="180"/>
      </w:pPr>
      <w:r>
        <w:rPr>
          <w:rFonts w:ascii="Aptos" w:cs="Aptos" w:eastAsia="Aptos" w:hAnsi="Aptos"/>
          <w:b/>
          <w:bCs/>
          <w:color w:val="B4823C"/>
          <w:sz w:val="22"/>
          <w:szCs w:val="22"/>
        </w:rPr>
        <w:t xml:space="preserve">Однозначный ответ</w:t>
      </w:r>
    </w:p>
    <w:p>
      <w:pPr>
        <w:spacing w:after="140" w:line="300"/>
        <w:jc w:val="left"/>
      </w:pPr>
      <w:r>
        <w:rPr>
          <w:rFonts w:ascii="Aptos" w:cs="Aptos" w:eastAsia="Aptos" w:hAnsi="Aptos"/>
          <w:color w:val="1A1A1A"/>
          <w:sz w:val="21"/>
          <w:szCs w:val="21"/>
        </w:rPr>
        <w:t xml:space="preserve">Акустика становится регулярной специфицируемой категорией в офисных, образовательных, гостиничных и других институциональных интерьерах — потому что сертификационные и корпоративные стандарты сделали её измеримым условием допуска объекта на рынок аренды и инвестиций именно в этих сегментах. Переход в массовый жилой и мебельный рынок этим докладом не подтверждён: данных о спросе в частном жилье, в Беларуси и СНГ в целом, в среднем коммерческом сегменте и в массовой рознице недостаточно, чтобы утверждать это как факт, а не как правдоподобное ожидание. Массовым становится спрос на акустическую функцию как таковую; прибыль при этом остаётся не у массового продукта, а у специализированного инженерного решения — сертифицированного, с расчётом и сервисом. Внутри институциональных сегментов идёт быстрое расслоение: типовой декоративный продукт без протокола движется к коммодитизации, а комплексное решение остаётся защищённой нишей.</w:t>
      </w:r>
    </w:p>
    <w:p>
      <w:pPr>
        <w:pStyle w:val="Heading3"/>
        <w:spacing w:after="90" w:before="180"/>
      </w:pPr>
      <w:r>
        <w:rPr>
          <w:rFonts w:ascii="Aptos" w:cs="Aptos" w:eastAsia="Aptos" w:hAnsi="Aptos"/>
          <w:b/>
          <w:bCs/>
          <w:color w:val="B4823C"/>
          <w:sz w:val="22"/>
          <w:szCs w:val="22"/>
        </w:rPr>
        <w:t xml:space="preserve">Формула Valmark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2B1D14" w:color="auto" w:val="clear"/>
            <w:tcMar>
              <w:top w:type="dxa" w:w="200"/>
              <w:left w:type="dxa" w:w="260"/>
              <w:bottom w:type="dxa" w:w="200"/>
              <w:right w:type="dxa" w:w="260"/>
            </w:tcMar>
          </w:tcPr>
          <w:p>
            <w:pPr>
              <w:spacing w:after="0" w:line="300"/>
            </w:pPr>
            <w:r>
              <w:rPr>
                <w:rFonts w:ascii="Aptos" w:cs="Aptos" w:eastAsia="Aptos" w:hAnsi="Aptos"/>
                <w:b/>
                <w:bCs/>
                <w:color w:val="FFFFFF"/>
                <w:sz w:val="22"/>
                <w:szCs w:val="22"/>
              </w:rPr>
              <w:t xml:space="preserve">Рынок ломается на границе между декоративным продуктом и измеримым эффектом — но пока преимущественно в институциональных сегментах (офисы, образование, гостиницы), а не в массовом жилье. Деньги уходят от штучной панели к пакету «расчёт плюс сертифицированное изделие плюс сервис», центр контроля формируется связкой акустического консультанта, спецификации и BIM-каталога — роль, которая по рабочей гипотезе Valmark структурно вакантна в СНГ и требует отдельной проверки на реальных региональных данных. Компаниям региона имеет смысл не копировать западный ассортимент и не считать эту гипотезу фактом заранее, а начать с проверки на своём рынке: получить протокол, выбрать одну нишу и проверить на реальных тендерах, кто фактически контролирует спецификацию на их объектах.</w:t>
            </w:r>
          </w:p>
        </w:tc>
      </w:tr>
    </w:tbl>
    <w:p>
      <w:pPr>
        <w:pStyle w:val="Heading1"/>
        <w:pageBreakBefore/>
        <w:spacing w:after="160" w:before="240"/>
      </w:pPr>
      <w:r>
        <w:rPr>
          <w:rFonts w:ascii="Aptos" w:cs="Aptos" w:eastAsia="Aptos" w:hAnsi="Aptos"/>
          <w:b/>
          <w:bCs/>
          <w:color w:val="2B1D14"/>
          <w:sz w:val="30"/>
          <w:szCs w:val="30"/>
        </w:rPr>
        <w:t xml:space="preserve">Приложение 1. Таблица ключевых цифр</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50"/>
        <w:gridCol w:w="2050"/>
        <w:gridCol w:w="950"/>
        <w:gridCol w:w="1250"/>
        <w:gridCol w:w="1650"/>
        <w:gridCol w:w="1510"/>
      </w:tblGrid>
      <w:tr>
        <w:trPr>
          <w:cantSplit/>
          <w:tblHeader/>
        </w:trPr>
        <w:tc>
          <w:tcPr>
            <w:tcW w:type="dxa" w:w="19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Показатель</w:t>
            </w:r>
          </w:p>
        </w:tc>
        <w:tc>
          <w:tcPr>
            <w:tcW w:type="dxa" w:w="20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Значение</w:t>
            </w:r>
          </w:p>
        </w:tc>
        <w:tc>
          <w:tcPr>
            <w:tcW w:type="dxa" w:w="9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Год</w:t>
            </w:r>
          </w:p>
        </w:tc>
        <w:tc>
          <w:tcPr>
            <w:tcW w:type="dxa" w:w="12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География</w:t>
            </w:r>
          </w:p>
        </w:tc>
        <w:tc>
          <w:tcPr>
            <w:tcW w:type="dxa" w:w="16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Источник</w:t>
            </w:r>
          </w:p>
        </w:tc>
        <w:tc>
          <w:tcPr>
            <w:tcW w:type="dxa" w:w="151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Надёжность</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Глобальный рынок акустических панелей — GMI серия</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8,6 (2025) → 9,1 млрд долл. (2026)</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2025–2026</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Global Market Insights</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для этой серии</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Глобальный рынок архитектурных акустических панелей — FBI серия</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8,7 (2025) → 9,1 млрд долл. (2026)</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2025–2026</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Fortune Business Insights, отчёт FBI104454</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сходится по порядку величины с серией GMI на 2026 год</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Тот же рынок, более широкая категория — серия Strategic Market Research</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12,8 (2024) → 20,1 млрд долл. (2030)</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2024–2030</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Strategic Market Research</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как отдельная серия; НЕ сопоставим напрямую с GMI/FBI — иной состав категории</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Темп роста рынка акустических панелей (GMI/FBI серии)</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5,0–6,7% CAGR</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2026–2034/2035</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Global Market Insights, Fortune Business Insights</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по двум сопоставимым сериям</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office pods</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0,56 → 1,33 млрд долл.</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2025→2034</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Fortune Business Insights, отчёт FBI110928 (обновлён издателем 11.05.2026, доступ 15.07.2026)</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на дату доступа; аналоги других агентств дают 0,72–2,85 млрд в зависимости от определения</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Темп роста office pods</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10,06% CAGR</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2026–2034</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Fortune Business Insights, отчёт FBI110928</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на дату доступа</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PET-войлочных панелей</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Надёжная количественная оценка отсутствует</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2025–2026</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Множественные противоречивые отчёты</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подтверждён</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NRC PET-войлочных панелей</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0,65–0,95</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Технические паспорта производителей, ASTM C423</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Типовой диапазон, зависит от толщины и монтажа</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Класс звукопоглощения A (по EN ISO 11654)</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αw ≥ 0,90</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Европа / ISO</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EN ISO 11654</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Ориентировочный RT60 для офисных помещений (отраслевой бенчмарк, не норматив)</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0,6–0,8 с — типовой отраслевой ориентир для закрытых кабинетов и переговорных; для open-plan действуют отдельные параметры по ISO 22955</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Отраслевая практика; метод измерения — ISO 3382-2 (обычные помещения) / ISO 3382-3 (open-plan)</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Частично подтверждён — ISO 3382 задаёт метод измерения, а не универсальный целевой диапазон; конкретное целевое значение зависит от типа помещения и применяемого стандарта (см. ISO 22955:2021 для open-plan)</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Речевое снижение office pods (DS,A)</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 27–30 дБ для будок; ≈ 4–6 дБ для полуоткрытых рабочих станций</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23351-1:2020, межлабораторное сличение</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для методики измерения; НЕ является показателем Rw/STC или времени реверберации</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Связь параметров звуковой среды и результатов когнитивных задач</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Обзор литературы (272 → 12 отобранных публикаций) подтверждает направление связи; доказательная база по эффективности конкретных стратегий акустического дизайна признана авторами недостаточной</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2017</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Литературный обзор, международно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Reinten et al., Building and Environment</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как литературный обзор — не как прямой эксперимент</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WELL v2, число фич концепции Sound</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6 фич (S01–S06), из них 1 обязательная прекондиция (S01)</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 (текущая редакция)</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International WELL Building Institute</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Удвоение самооценки потерь продуктивности при переходе в open space</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Статистически значимый эффект</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2009</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Финляндия</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Haapakangas et al., Applied Ergonomics</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23351-1:2020</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Первый единый стандарт измерения речевого снижения (DS,A) для office pods/будок</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2020</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Международно</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LEED v4/v4.1, кредит Acoustic Performance</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Отдельный кредит с требованиями к STC/RT/фоновому шуму</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2013+ / 2018+</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США / глобально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USGBC</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BREEAM International New Construction, HEA 05/06</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Кредиты за акустический комфорт</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Действующая редакция</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Европа/Великобритания</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BRE</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СП 51.13330.2011, действующее изменение</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Изменение № 4, введено 13.01.2024</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2023–2024</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Россия</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Минстрой России, приказ № 909/пр</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ГОСТ 31704-2011 (аналог ISO 354)</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Введён ссылкой в СП 51.13330 изменением № 4</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2024</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Россия</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Минстрой России</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20189:2018</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рейтинга звукопоглощения экранов, мебели и одиночных объектов интерьера — профильный для мебельной продукции, отдельный от ISO 23351-1</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2018 (подтверждён к применению в 2024)</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NRC для потолочных систем из минеральной ваты</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До 1,0 (класс A)</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Европа/США</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Технические паспорта Ecophon/Rockfon/Armstrong</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Частично подтверждён — зависит от конкретного изделия</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Толщина PET-панелей на рынке</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8–45 мм (диапазон типовых линеек)</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2024–2026</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Европа/глобально</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Технические каталоги производителей</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Частично подтверждён</w:t>
            </w:r>
          </w:p>
        </w:tc>
      </w:tr>
      <w:tr>
        <w:trPr>
          <w:cantSplit/>
        </w:trPr>
        <w:tc>
          <w:tcPr>
            <w:tcW w:type="dxa" w:w="1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Класс пожарной опасности PET-панелей (типовой)</w:t>
            </w:r>
          </w:p>
        </w:tc>
        <w:tc>
          <w:tcPr>
            <w:tcW w:type="dxa" w:w="20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Euroclass B-s1,d0</w:t>
            </w:r>
          </w:p>
        </w:tc>
        <w:tc>
          <w:tcPr>
            <w:tcW w:type="dxa" w:w="9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2024–2026</w:t>
            </w:r>
          </w:p>
        </w:tc>
        <w:tc>
          <w:tcPr>
            <w:tcW w:type="dxa" w:w="12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Европа</w:t>
            </w:r>
          </w:p>
        </w:tc>
        <w:tc>
          <w:tcPr>
            <w:tcW w:type="dxa" w:w="16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Технические паспорта производителей</w:t>
            </w:r>
          </w:p>
        </w:tc>
        <w:tc>
          <w:tcPr>
            <w:tcW w:type="dxa" w:w="151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Частично подтверждён — варьируется по линейке</w:t>
            </w:r>
          </w:p>
        </w:tc>
      </w:tr>
      <w:tr>
        <w:trPr>
          <w:cantSplit/>
        </w:trPr>
        <w:tc>
          <w:tcPr>
            <w:tcW w:type="dxa" w:w="1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Нормативная база защиты от шума в Республике Беларусь</w:t>
            </w:r>
          </w:p>
        </w:tc>
        <w:tc>
          <w:tcPr>
            <w:tcW w:type="dxa" w:w="20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Требует прямой проверки у регулятора</w:t>
            </w:r>
          </w:p>
        </w:tc>
        <w:tc>
          <w:tcPr>
            <w:tcW w:type="dxa" w:w="9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2026</w:t>
            </w:r>
          </w:p>
        </w:tc>
        <w:tc>
          <w:tcPr>
            <w:tcW w:type="dxa" w:w="12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Беларусь</w:t>
            </w:r>
          </w:p>
        </w:tc>
        <w:tc>
          <w:tcPr>
            <w:tcW w:type="dxa" w:w="16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Открытые источники не дают полного подтверждения</w:t>
            </w:r>
          </w:p>
        </w:tc>
        <w:tc>
          <w:tcPr>
            <w:tcW w:type="dxa" w:w="151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подтверждён</w:t>
            </w:r>
          </w:p>
        </w:tc>
      </w:tr>
    </w:tbl>
    <w:p>
      <w:pPr>
        <w:spacing w:after="80"/>
      </w:pPr>
    </w:p>
    <w:p>
      <w:pPr>
        <w:spacing w:after="140" w:line="300"/>
        <w:jc w:val="left"/>
      </w:pPr>
      <w:r>
        <w:rPr>
          <w:rFonts w:ascii="Aptos" w:cs="Aptos" w:eastAsia="Aptos" w:hAnsi="Aptos"/>
          <w:color w:val="1A1A1A"/>
          <w:sz w:val="21"/>
          <w:szCs w:val="21"/>
        </w:rPr>
        <w:t xml:space="preserve">Показатели, помеченные как «не подтверждён» или «диапазон», намеренно оставлены без точечного значения — это соответствует принципу Valmark не создавать точную цифру из слабых косвенных данных.</w:t>
      </w:r>
    </w:p>
    <w:p>
      <w:pPr>
        <w:pStyle w:val="Heading1"/>
        <w:pageBreakBefore/>
        <w:spacing w:after="160" w:before="240"/>
      </w:pPr>
      <w:r>
        <w:rPr>
          <w:rFonts w:ascii="Aptos" w:cs="Aptos" w:eastAsia="Aptos" w:hAnsi="Aptos"/>
          <w:b/>
          <w:bCs/>
          <w:color w:val="2B1D14"/>
          <w:sz w:val="30"/>
          <w:szCs w:val="30"/>
        </w:rPr>
        <w:t xml:space="preserve">Приложение 2. Реестр источников</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350"/>
        <w:gridCol w:w="2600"/>
        <w:gridCol w:w="1850"/>
        <w:gridCol w:w="2060"/>
      </w:tblGrid>
      <w:tr>
        <w:trPr>
          <w:cantSplit/>
          <w:tblHeader/>
        </w:trPr>
        <w:tc>
          <w:tcPr>
            <w:tcW w:type="dxa" w:w="5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w:t>
            </w:r>
          </w:p>
        </w:tc>
        <w:tc>
          <w:tcPr>
            <w:tcW w:type="dxa" w:w="23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Тезис</w:t>
            </w:r>
          </w:p>
        </w:tc>
        <w:tc>
          <w:tcPr>
            <w:tcW w:type="dxa" w:w="26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Источник</w:t>
            </w:r>
          </w:p>
        </w:tc>
        <w:tc>
          <w:tcPr>
            <w:tcW w:type="dxa" w:w="185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Тип</w:t>
            </w:r>
          </w:p>
        </w:tc>
        <w:tc>
          <w:tcPr>
            <w:tcW w:type="dxa" w:w="20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Статус проверки</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Продуктивность и приватность в open space</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Haapakangas A. et al., Applied Ergonomics, 2009</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Академическое исследование (лонгитюдное, первичное)</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Связь звуковой среды и результатов когнитивных задач</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Reinten J. et al., Building and Environment, 2017</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Академический литературный обзор (272 → 12 отобранных публикаций), НЕ первичный эксперимент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как обзор; авторы сами отмечают недостаток доказательств по эффективности конкретных стратегий дизайна</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3</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Стресс и фоновый шум (кортизол, усталость)</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The Acoustics Company (2023); GB Acoustics (2025)</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Коммерческие сайты акустических компаний, источник уровня C</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Понижен: используется как поисковый сигнал, не как доказательство «доказанного эффекта»</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4</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измерения звукопоглощения</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354:2003 (в РФ — ГОСТ 31704-2011)</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5</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NRC/SAA</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C423</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6</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αw и классы A–E</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EN ISO 11654</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7</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RT60</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3382-1/2/3</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8</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STI</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IEC 60268-16:2020</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9</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Rw</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717-1:2020 (4-е издание, заменило отозванную редакцию 2013 года)</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10</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STC</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ASTM E413</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11</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речевого снижения office pods (DS,A)</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23351-1:2020; межлабораторное сличение метода (8 лабораторий, 6 стран)</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 + академическая верификация</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область применения прямо исключает экраны/мебель/светильники/поглотители</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12</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Стандарт звукопоглощения экранов, мебели, одиночных объектов</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ISO 20189:2018</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стандарт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13</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WELL v2, концепция Sound</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International WELL Building Institute, support.wellcertified.com</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источник</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6 фич (S01–S06), S01 — прекондиция</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14</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LEED v4/4.1 Acoustic Performance</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USGBC, usgbc.org</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источник</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15</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BREEAM HEA 05/06</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BRE, breeam.com</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источник</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16</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СП 51.13330.2011 с изменением № 4</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Минстрой России, приказ от 12.12.2023 № 909/пр</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Официальный нормативный документ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17</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Глобальный рынок акустических панелей (серия GMI)</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Global Market Insights, gminsights.com, доступ 15.07.2026</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Отраслевой отчёт</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Одна из трёх именованных серий — не смешивается с другими</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18</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Глобальный рынок архитектурных акустических панелей (серия FBI)</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Fortune Business Insights, отчёт FBI104454, обновлён издателем 29.06.2026, доступ 15.07.2026</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Отраслевой отчёт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Отдельная именованная серия, сопоставима по порядку величины с GMI на 2026 год</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19</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Глобальный рынок акустических панелей (серия Strategic Market Research)</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Strategic Market Research, доступ 15.07.2026</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Отраслевой отчёт</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Отдельная именованная серия, заметно выше двух предыдущих — вероятно, шире состав категории</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20</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office pods</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Fortune Business Insights, отчёт FBI110928, обновлён издателем 11.05.2026, доступ 15.07.2026</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Отраслевой отчёт</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Подтверждён первоисточником на дату доступа; страница проверена дважды с одинаковым результатом</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21</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Рынок PET-войлочных панелей (множественные оценки)</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DataInsightsMarket, Giiresearch, OpenPR/DataHorizzon, 360iResearch, BusinessResearchInsights, MarketReportsWorld</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Отраслевые отчёты (report-mill)</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Противоречивые данные — количественная оценка исключена из доклада</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22</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Динамика мебельной акустики как отдельной категории</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Открытая консолидированная оценка не найдена</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подтверждён — оценивается качественно</w:t>
            </w:r>
          </w:p>
        </w:tc>
      </w:tr>
      <w:tr>
        <w:trPr>
          <w:cantSplit/>
        </w:trPr>
        <w:tc>
          <w:tcPr>
            <w:tcW w:type="dxa" w:w="5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23</w:t>
            </w:r>
          </w:p>
        </w:tc>
        <w:tc>
          <w:tcPr>
            <w:tcW w:type="dxa" w:w="23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Нормативная база Республики Беларусь</w:t>
            </w:r>
          </w:p>
        </w:tc>
        <w:tc>
          <w:tcPr>
            <w:tcW w:type="dxa" w:w="26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Прямое подтверждение не найдено в открытых источниках</w:t>
            </w:r>
          </w:p>
        </w:tc>
        <w:tc>
          <w:tcPr>
            <w:tcW w:type="dxa" w:w="185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t>
            </w:r>
          </w:p>
        </w:tc>
        <w:tc>
          <w:tcPr>
            <w:tcW w:type="dxa" w:w="2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Не подтверждён — требует прямого запроса регулятору</w:t>
            </w:r>
          </w:p>
        </w:tc>
      </w:tr>
      <w:tr>
        <w:trPr>
          <w:cantSplit/>
        </w:trPr>
        <w:tc>
          <w:tcPr>
            <w:tcW w:type="dxa" w:w="5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24</w:t>
            </w:r>
          </w:p>
        </w:tc>
        <w:tc>
          <w:tcPr>
            <w:tcW w:type="dxa" w:w="23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Цена ПЭТ-панелей (опт и розница)</w:t>
            </w:r>
          </w:p>
        </w:tc>
        <w:tc>
          <w:tcPr>
            <w:tcW w:type="dxa" w:w="26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B2B-площадки (Alibaba/Made-in-China) и розничные прайс-листы США, доступ 15.07.2026</w:t>
            </w:r>
          </w:p>
        </w:tc>
        <w:tc>
          <w:tcPr>
            <w:tcW w:type="dxa" w:w="185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Рыночные листинги, не аудированные сделки</w:t>
            </w:r>
          </w:p>
        </w:tc>
        <w:tc>
          <w:tcPr>
            <w:tcW w:type="dxa" w:w="2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Индикативный ориентир, не гарантированная цена закупки</w:t>
            </w:r>
          </w:p>
        </w:tc>
      </w:tr>
    </w:tbl>
    <w:p>
      <w:pPr>
        <w:pStyle w:val="Heading1"/>
        <w:pageBreakBefore/>
        <w:spacing w:after="160" w:before="240"/>
      </w:pPr>
      <w:r>
        <w:rPr>
          <w:rFonts w:ascii="Aptos" w:cs="Aptos" w:eastAsia="Aptos" w:hAnsi="Aptos"/>
          <w:b/>
          <w:bCs/>
          <w:color w:val="2B1D14"/>
          <w:sz w:val="30"/>
          <w:szCs w:val="30"/>
        </w:rPr>
        <w:t xml:space="preserve">Приложение 3. Ограничения исследования</w:t>
      </w:r>
    </w:p>
    <w:p>
      <w:pPr>
        <w:pStyle w:val="ListParagraph"/>
        <w:numPr>
          <w:ilvl w:val="0"/>
          <w:numId w:val="2"/>
        </w:numPr>
        <w:spacing w:after="100" w:line="290"/>
      </w:pPr>
      <w:r>
        <w:rPr>
          <w:rFonts w:ascii="Aptos" w:cs="Aptos" w:eastAsia="Aptos" w:hAnsi="Aptos"/>
          <w:b/>
          <w:bCs/>
          <w:color w:val="1A1A1A"/>
          <w:sz w:val="21"/>
          <w:szCs w:val="21"/>
        </w:rPr>
        <w:t xml:space="preserve">Региональные данные СНГ. </w:t>
      </w:r>
      <w:r>
        <w:rPr>
          <w:rFonts w:ascii="Aptos" w:cs="Aptos" w:eastAsia="Aptos" w:hAnsi="Aptos"/>
          <w:color w:val="1A1A1A"/>
          <w:sz w:val="21"/>
          <w:szCs w:val="21"/>
        </w:rPr>
        <w:t xml:space="preserve">Открытой консолидированной статистики рынка акустических решений отдельно по России, Беларуси и Казахстану не существует — оценки в разделе 6 построены на косвенных индикаторах (ввод недвижимости класса А, присутствие сетевых операторов, объём импорта), а не на прямых рыночных отчётах.</w:t>
      </w:r>
    </w:p>
    <w:p>
      <w:pPr>
        <w:pStyle w:val="ListParagraph"/>
        <w:numPr>
          <w:ilvl w:val="0"/>
          <w:numId w:val="2"/>
        </w:numPr>
        <w:spacing w:after="100" w:line="290"/>
      </w:pPr>
      <w:r>
        <w:rPr>
          <w:rFonts w:ascii="Aptos" w:cs="Aptos" w:eastAsia="Aptos" w:hAnsi="Aptos"/>
          <w:b/>
          <w:bCs/>
          <w:color w:val="1A1A1A"/>
          <w:sz w:val="21"/>
          <w:szCs w:val="21"/>
        </w:rPr>
        <w:t xml:space="preserve">PET-войлочные панели. </w:t>
      </w:r>
      <w:r>
        <w:rPr>
          <w:rFonts w:ascii="Aptos" w:cs="Aptos" w:eastAsia="Aptos" w:hAnsi="Aptos"/>
          <w:color w:val="1A1A1A"/>
          <w:sz w:val="21"/>
          <w:szCs w:val="21"/>
        </w:rPr>
        <w:t xml:space="preserve">Глобальный размер этого под-сегмента не подтверждён ни одним источником уровня A/B; в докладе отсутствует количественная оценка, только качественное позиционирование.</w:t>
      </w:r>
    </w:p>
    <w:p>
      <w:pPr>
        <w:pStyle w:val="ListParagraph"/>
        <w:numPr>
          <w:ilvl w:val="0"/>
          <w:numId w:val="2"/>
        </w:numPr>
        <w:spacing w:after="100" w:line="290"/>
      </w:pPr>
      <w:r>
        <w:rPr>
          <w:rFonts w:ascii="Aptos" w:cs="Aptos" w:eastAsia="Aptos" w:hAnsi="Aptos"/>
          <w:b/>
          <w:bCs/>
          <w:color w:val="1A1A1A"/>
          <w:sz w:val="21"/>
          <w:szCs w:val="21"/>
        </w:rPr>
        <w:t xml:space="preserve">ROI акустических решений. </w:t>
      </w:r>
      <w:r>
        <w:rPr>
          <w:rFonts w:ascii="Aptos" w:cs="Aptos" w:eastAsia="Aptos" w:hAnsi="Aptos"/>
          <w:color w:val="1A1A1A"/>
          <w:sz w:val="21"/>
          <w:szCs w:val="21"/>
        </w:rPr>
        <w:t xml:space="preserve">Финансовая модель окупаемости в разделе 16 — оценка Valmark на основе косвенных данных, а не эмпирически подтверждённое исследование с открытой методологией.</w:t>
      </w:r>
    </w:p>
    <w:p>
      <w:pPr>
        <w:pStyle w:val="ListParagraph"/>
        <w:numPr>
          <w:ilvl w:val="0"/>
          <w:numId w:val="2"/>
        </w:numPr>
        <w:spacing w:after="100" w:line="290"/>
      </w:pPr>
      <w:r>
        <w:rPr>
          <w:rFonts w:ascii="Aptos" w:cs="Aptos" w:eastAsia="Aptos" w:hAnsi="Aptos"/>
          <w:b/>
          <w:bCs/>
          <w:color w:val="1A1A1A"/>
          <w:sz w:val="21"/>
          <w:szCs w:val="21"/>
        </w:rPr>
        <w:t xml:space="preserve">Нормативная база Беларуси. </w:t>
      </w:r>
      <w:r>
        <w:rPr>
          <w:rFonts w:ascii="Aptos" w:cs="Aptos" w:eastAsia="Aptos" w:hAnsi="Aptos"/>
          <w:color w:val="1A1A1A"/>
          <w:sz w:val="21"/>
          <w:szCs w:val="21"/>
        </w:rPr>
        <w:t xml:space="preserve">Требует прямой проверки у Минстройархитектуры РБ; предположение о гармонизации с российскими нормами в докладе — рабочая гипотеза, а не подтверждённый факт.</w:t>
      </w:r>
    </w:p>
    <w:p>
      <w:pPr>
        <w:pStyle w:val="ListParagraph"/>
        <w:numPr>
          <w:ilvl w:val="0"/>
          <w:numId w:val="2"/>
        </w:numPr>
        <w:spacing w:after="100" w:line="290"/>
      </w:pPr>
      <w:r>
        <w:rPr>
          <w:rFonts w:ascii="Aptos" w:cs="Aptos" w:eastAsia="Aptos" w:hAnsi="Aptos"/>
          <w:b/>
          <w:bCs/>
          <w:color w:val="1A1A1A"/>
          <w:sz w:val="21"/>
          <w:szCs w:val="21"/>
        </w:rPr>
        <w:t xml:space="preserve">Сценарные вероятности. </w:t>
      </w:r>
      <w:r>
        <w:rPr>
          <w:rFonts w:ascii="Aptos" w:cs="Aptos" w:eastAsia="Aptos" w:hAnsi="Aptos"/>
          <w:color w:val="1A1A1A"/>
          <w:sz w:val="21"/>
          <w:szCs w:val="21"/>
        </w:rPr>
        <w:t xml:space="preserve">Оценки в разделе 19 качественные (базовый/ускоренный/кризисный), без количественной вероятностной модели — числовые проценты намеренно не используются, чтобы не создавать ложную точность.</w:t>
      </w:r>
    </w:p>
    <w:p>
      <w:pPr>
        <w:pStyle w:val="ListParagraph"/>
        <w:numPr>
          <w:ilvl w:val="0"/>
          <w:numId w:val="2"/>
        </w:numPr>
        <w:spacing w:after="100" w:line="290"/>
      </w:pPr>
      <w:r>
        <w:rPr>
          <w:rFonts w:ascii="Aptos" w:cs="Aptos" w:eastAsia="Aptos" w:hAnsi="Aptos"/>
          <w:b/>
          <w:bCs/>
          <w:color w:val="1A1A1A"/>
          <w:sz w:val="21"/>
          <w:szCs w:val="21"/>
        </w:rPr>
        <w:t xml:space="preserve">Что нужно обновить позднее. </w:t>
      </w:r>
      <w:r>
        <w:rPr>
          <w:rFonts w:ascii="Aptos" w:cs="Aptos" w:eastAsia="Aptos" w:hAnsi="Aptos"/>
          <w:color w:val="1A1A1A"/>
          <w:sz w:val="21"/>
          <w:szCs w:val="21"/>
        </w:rPr>
        <w:t xml:space="preserve">Рыночные оценки панелей и office pods (раздел 6, приложение 1) стоит пересматривать не реже раза в год — сегмент методологически нестабилен и отчёты обновляются быстрее, чем устаканивается терминология.</w:t>
      </w:r>
    </w:p>
    <w:p>
      <w:pPr>
        <w:pStyle w:val="Heading1"/>
        <w:pageBreakBefore/>
        <w:spacing w:after="160" w:before="240"/>
      </w:pPr>
      <w:r>
        <w:rPr>
          <w:rFonts w:ascii="Aptos" w:cs="Aptos" w:eastAsia="Aptos" w:hAnsi="Aptos"/>
          <w:b/>
          <w:bCs/>
          <w:color w:val="2B1D14"/>
          <w:sz w:val="30"/>
          <w:szCs w:val="30"/>
        </w:rPr>
        <w:t xml:space="preserve">Глоссарий</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rPr>
          <w:cantSplit/>
          <w:tblHeader/>
        </w:trPr>
        <w:tc>
          <w:tcPr>
            <w:tcW w:type="dxa" w:w="330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Термин</w:t>
            </w:r>
          </w:p>
        </w:tc>
        <w:tc>
          <w:tcPr>
            <w:tcW w:type="dxa" w:w="6060"/>
            <w:shd w:fill="B4823C" w:color="auto" w:val="clear"/>
            <w:tcMar>
              <w:top w:type="dxa" w:w="110"/>
              <w:left w:type="dxa" w:w="130"/>
              <w:bottom w:type="dxa" w:w="110"/>
              <w:right w:type="dxa" w:w="130"/>
            </w:tcMar>
          </w:tcPr>
          <w:p>
            <w:pPr>
              <w:spacing w:after="0"/>
            </w:pPr>
            <w:r>
              <w:rPr>
                <w:rFonts w:ascii="Aptos" w:cs="Aptos" w:eastAsia="Aptos" w:hAnsi="Aptos"/>
                <w:b/>
                <w:bCs/>
                <w:color w:val="FFFFFF"/>
                <w:sz w:val="18"/>
                <w:szCs w:val="18"/>
              </w:rPr>
              <w:t xml:space="preserve">Значение</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NRC (Noise Reduction Coefficient)</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Средний коэффициент звукопоглощения материала в диапазоне 250–2000 Гц по ASTM C423</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αw (взвешенный коэффициент звукопоглощения)</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Одномерный индекс звукопоглощения с классом A–E по EN ISO 11654</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RT60 (время реверберации)</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Время снижения уровня звука на 60 дБ после выключения источника, по ISO 3382</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STI (Speech Transmission Index)</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Индекс объективной оценки разборчивости речи (0–1) по IEC 60268-16</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Rw (взвешенный индекс звукоизоляции)</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Показатель изоляции воздушного шума конструкции по ISO 717-1</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STC (Sound Transmission Class)</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Американский аналог Rw по ASTM E413</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IIC (Impact Insulation Class)</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Показатель изоляции ударного шума перекрытием</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EPD (экологическая декларация продукта)</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Официально верифицированный документ о жизненном цикле и экологическом следе продукта</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WELL v2</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Международный стандарт сертификации зданий с фокусом на здоровье и благополучие людей, включает концепцию Sound (S01–S06)</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DS,A (речевое снижение)</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Показатель по ISO 23351-1, насколько кабина или мебельный ансамбль снижает уровень речи говорящего внутри для окружающего пространства — не показатель звукоизоляции конструкции</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LEED</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Международная система сертификации экологичных зданий (US Green Building Council)</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BREEAM</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Международная система экологической оценки зданий (BRE, Великобритания)</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СП (свод правил)</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Ключевой технический нормативный документ в строительстве РФ; с 01.09.2024 применимость конкретных положений к проекту определяется реестром требований, а не универсальным обязательным перечнем</w:t>
            </w:r>
          </w:p>
        </w:tc>
      </w:tr>
      <w:tr>
        <w:trPr>
          <w:cantSplit/>
        </w:trPr>
        <w:tc>
          <w:tcPr>
            <w:tcW w:type="dxa" w:w="330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Office pod</w:t>
            </w:r>
          </w:p>
        </w:tc>
        <w:tc>
          <w:tcPr>
            <w:tcW w:type="dxa" w:w="6060"/>
            <w:shd w:fill="F4EEE4"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Акустически изолированная кабина или будка для приватных звонков и сфокусированной работы внутри открытого офисного пространства</w:t>
            </w:r>
          </w:p>
        </w:tc>
      </w:tr>
      <w:tr>
        <w:trPr>
          <w:cantSplit/>
        </w:trPr>
        <w:tc>
          <w:tcPr>
            <w:tcW w:type="dxa" w:w="330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Инференция Valmark</w:t>
            </w:r>
          </w:p>
        </w:tc>
        <w:tc>
          <w:tcPr>
            <w:tcW w:type="dxa" w:w="6060"/>
            <w:shd w:fill="FFFFFF" w:color="auto" w:val="clear"/>
            <w:tcMar>
              <w:top w:type="dxa" w:w="100"/>
              <w:left w:type="dxa" w:w="130"/>
              <w:bottom w:type="dxa" w:w="100"/>
              <w:right w:type="dxa" w:w="130"/>
            </w:tcMar>
          </w:tcPr>
          <w:p>
            <w:pPr>
              <w:spacing w:after="0" w:line="260"/>
            </w:pPr>
            <w:r>
              <w:rPr>
                <w:rFonts w:ascii="Aptos" w:cs="Aptos" w:eastAsia="Aptos" w:hAnsi="Aptos"/>
                <w:color w:val="1A1A1A"/>
                <w:sz w:val="18"/>
                <w:szCs w:val="18"/>
              </w:rPr>
              <w:t xml:space="preserve">Аналитический вывод команды Valmark, не являющийся прямой цитатой источника, а построенный на сопоставлении нескольких данных</w:t>
            </w:r>
          </w:p>
        </w:tc>
      </w:tr>
    </w:tbl>
    <w:p>
      <w:pPr>
        <w:pStyle w:val="Heading1"/>
        <w:pageBreakBefore/>
        <w:spacing w:after="160" w:before="240"/>
      </w:pPr>
      <w:r>
        <w:rPr>
          <w:rFonts w:ascii="Aptos" w:cs="Aptos" w:eastAsia="Aptos" w:hAnsi="Aptos"/>
          <w:b/>
          <w:bCs/>
          <w:color w:val="2B1D14"/>
          <w:sz w:val="30"/>
          <w:szCs w:val="30"/>
        </w:rPr>
        <w:t xml:space="preserve">Источники</w:t>
      </w:r>
    </w:p>
    <w:p>
      <w:pPr>
        <w:spacing w:after="140" w:line="300"/>
        <w:jc w:val="left"/>
      </w:pPr>
      <w:r>
        <w:rPr>
          <w:rFonts w:ascii="Aptos" w:cs="Aptos" w:eastAsia="Aptos" w:hAnsi="Aptos"/>
          <w:color w:val="1A1A1A"/>
          <w:sz w:val="21"/>
          <w:szCs w:val="21"/>
        </w:rPr>
        <w:t xml:space="preserve">Для рыночных отчётов и других страниц, которые издатель может обновлять без изменения адреса, ниже указана дата обращения Valmark (15.07.2026) и, где доступно, дата последнего обновления страницы издателем.</w:t>
      </w:r>
    </w:p>
    <w:p>
      <w:pPr>
        <w:pStyle w:val="Heading3"/>
        <w:spacing w:after="90" w:before="180"/>
      </w:pPr>
      <w:r>
        <w:rPr>
          <w:rFonts w:ascii="Aptos" w:cs="Aptos" w:eastAsia="Aptos" w:hAnsi="Aptos"/>
          <w:b/>
          <w:bCs/>
          <w:color w:val="B4823C"/>
          <w:sz w:val="22"/>
          <w:szCs w:val="22"/>
        </w:rPr>
        <w:t xml:space="preserve">1. Рынок и макроэкономика</w:t>
      </w:r>
    </w:p>
    <w:p>
      <w:pPr>
        <w:pStyle w:val="ListParagraph"/>
        <w:numPr>
          <w:ilvl w:val="0"/>
          <w:numId w:val="2"/>
        </w:numPr>
        <w:spacing w:after="100" w:line="290"/>
      </w:pPr>
      <w:r>
        <w:rPr>
          <w:rFonts w:ascii="Aptos" w:cs="Aptos" w:eastAsia="Aptos" w:hAnsi="Aptos"/>
          <w:color w:val="1A1A1A"/>
          <w:sz w:val="19"/>
          <w:szCs w:val="19"/>
        </w:rPr>
        <w:t xml:space="preserve">Global Market Insights. Acoustic Panel Market Size &amp; Share, Statistics Report 2026-2035 (доступ 15.07.2026).  </w:t>
      </w:r>
      <w:hyperlink w:history="1" r:id="rIdb7palnqsqhby28cojywbn">
        <w:r>
          <w:rPr>
            <w:rFonts w:ascii="Aptos" w:cs="Aptos" w:eastAsia="Aptos" w:hAnsi="Aptos"/>
            <w:color w:val="2E6BB8"/>
            <w:sz w:val="19"/>
            <w:szCs w:val="19"/>
            <w:u w:val="single"/>
          </w:rPr>
          <w:t xml:space="preserve">https://www.gminsights.com/industry-analysis/acoustic-panel-market</w:t>
        </w:r>
      </w:hyperlink>
    </w:p>
    <w:p>
      <w:pPr>
        <w:pStyle w:val="ListParagraph"/>
        <w:numPr>
          <w:ilvl w:val="0"/>
          <w:numId w:val="2"/>
        </w:numPr>
        <w:spacing w:after="100" w:line="290"/>
      </w:pPr>
      <w:r>
        <w:rPr>
          <w:rFonts w:ascii="Aptos" w:cs="Aptos" w:eastAsia="Aptos" w:hAnsi="Aptos"/>
          <w:color w:val="1A1A1A"/>
          <w:sz w:val="19"/>
          <w:szCs w:val="19"/>
        </w:rPr>
        <w:t xml:space="preserve">Fortune Business Insights. Architectural Acoustic Panels Market, отчёт FBI104454, обновлён издателем 29.06.2026 (доступ 15.07.2026).  </w:t>
      </w:r>
      <w:hyperlink w:history="1" r:id="rIdjjv4dpusbfhmsljrtsnjy">
        <w:r>
          <w:rPr>
            <w:rFonts w:ascii="Aptos" w:cs="Aptos" w:eastAsia="Aptos" w:hAnsi="Aptos"/>
            <w:color w:val="2E6BB8"/>
            <w:sz w:val="19"/>
            <w:szCs w:val="19"/>
            <w:u w:val="single"/>
          </w:rPr>
          <w:t xml:space="preserve">https://www.fortunebusinessinsights.com/architectural-acoustic-panels-market-104454</w:t>
        </w:r>
      </w:hyperlink>
    </w:p>
    <w:p>
      <w:pPr>
        <w:pStyle w:val="ListParagraph"/>
        <w:numPr>
          <w:ilvl w:val="0"/>
          <w:numId w:val="2"/>
        </w:numPr>
        <w:spacing w:after="100" w:line="290"/>
      </w:pPr>
      <w:r>
        <w:rPr>
          <w:rFonts w:ascii="Aptos" w:cs="Aptos" w:eastAsia="Aptos" w:hAnsi="Aptos"/>
          <w:color w:val="1A1A1A"/>
          <w:sz w:val="19"/>
          <w:szCs w:val="19"/>
        </w:rPr>
        <w:t xml:space="preserve">Fortune Business Insights. Office Pods Market, отчёт FBI110928, обновлён издателем 11.05.2026 (доступ 15.07.2026).  </w:t>
      </w:r>
      <w:hyperlink w:history="1" r:id="rIdaehlmtgkg8cgmmhprtysk">
        <w:r>
          <w:rPr>
            <w:rFonts w:ascii="Aptos" w:cs="Aptos" w:eastAsia="Aptos" w:hAnsi="Aptos"/>
            <w:color w:val="2E6BB8"/>
            <w:sz w:val="19"/>
            <w:szCs w:val="19"/>
            <w:u w:val="single"/>
          </w:rPr>
          <w:t xml:space="preserve">https://www.fortunebusinessinsights.com/office-pods-market-110928</w:t>
        </w:r>
      </w:hyperlink>
    </w:p>
    <w:p>
      <w:pPr>
        <w:pStyle w:val="ListParagraph"/>
        <w:numPr>
          <w:ilvl w:val="0"/>
          <w:numId w:val="2"/>
        </w:numPr>
        <w:spacing w:after="100" w:line="290"/>
      </w:pPr>
      <w:r>
        <w:rPr>
          <w:rFonts w:ascii="Aptos" w:cs="Aptos" w:eastAsia="Aptos" w:hAnsi="Aptos"/>
          <w:color w:val="1A1A1A"/>
          <w:sz w:val="19"/>
          <w:szCs w:val="19"/>
        </w:rPr>
        <w:t xml:space="preserve">Strategic Market Research. Acoustic Panel Market Report (доступ 15.07.2026).  </w:t>
      </w:r>
      <w:hyperlink w:history="1" r:id="rIdvuh2jydbid9ldxlxccakl">
        <w:r>
          <w:rPr>
            <w:rFonts w:ascii="Aptos" w:cs="Aptos" w:eastAsia="Aptos" w:hAnsi="Aptos"/>
            <w:color w:val="2E6BB8"/>
            <w:sz w:val="19"/>
            <w:szCs w:val="19"/>
            <w:u w:val="single"/>
          </w:rPr>
          <w:t xml:space="preserve">https://www.strategicmarketresearch.com/market-report/acoustic-panel-market</w:t>
        </w:r>
      </w:hyperlink>
    </w:p>
    <w:p>
      <w:pPr>
        <w:pStyle w:val="Heading3"/>
        <w:spacing w:after="90" w:before="180"/>
      </w:pPr>
      <w:r>
        <w:rPr>
          <w:rFonts w:ascii="Aptos" w:cs="Aptos" w:eastAsia="Aptos" w:hAnsi="Aptos"/>
          <w:b/>
          <w:bCs/>
          <w:color w:val="B4823C"/>
          <w:sz w:val="22"/>
          <w:szCs w:val="22"/>
        </w:rPr>
        <w:t xml:space="preserve">2. Регулирование и стандарты</w:t>
      </w:r>
    </w:p>
    <w:p>
      <w:pPr>
        <w:pStyle w:val="ListParagraph"/>
        <w:numPr>
          <w:ilvl w:val="0"/>
          <w:numId w:val="2"/>
        </w:numPr>
        <w:spacing w:after="100" w:line="290"/>
      </w:pPr>
      <w:r>
        <w:rPr>
          <w:rFonts w:ascii="Aptos" w:cs="Aptos" w:eastAsia="Aptos" w:hAnsi="Aptos"/>
          <w:color w:val="1A1A1A"/>
          <w:sz w:val="19"/>
          <w:szCs w:val="19"/>
        </w:rPr>
        <w:t xml:space="preserve">International WELL Building Institute. Понимание архитектуры WELL v2 (концепция Sound, S01–S06).  </w:t>
      </w:r>
      <w:hyperlink w:history="1" r:id="rId5ppth3ueckzdfklugvwgl">
        <w:r>
          <w:rPr>
            <w:rFonts w:ascii="Aptos" w:cs="Aptos" w:eastAsia="Aptos" w:hAnsi="Aptos"/>
            <w:color w:val="2E6BB8"/>
            <w:sz w:val="19"/>
            <w:szCs w:val="19"/>
            <w:u w:val="single"/>
          </w:rPr>
          <w:t xml:space="preserve">https://support.wellcertified.com/hc/en-us/articles/25652808225687-Understand-the-architecture-of-WELL-v2</w:t>
        </w:r>
      </w:hyperlink>
    </w:p>
    <w:p>
      <w:pPr>
        <w:pStyle w:val="ListParagraph"/>
        <w:numPr>
          <w:ilvl w:val="0"/>
          <w:numId w:val="2"/>
        </w:numPr>
        <w:spacing w:after="100" w:line="290"/>
      </w:pPr>
      <w:r>
        <w:rPr>
          <w:rFonts w:ascii="Aptos" w:cs="Aptos" w:eastAsia="Aptos" w:hAnsi="Aptos"/>
          <w:color w:val="1A1A1A"/>
          <w:sz w:val="19"/>
          <w:szCs w:val="19"/>
        </w:rPr>
        <w:t xml:space="preserve">International WELL Building Institute. Изменения между WELL v2 pilot и WELL v2 (детализация фич Sound).  </w:t>
      </w:r>
      <w:hyperlink w:history="1" r:id="rIdtzqjtff8mmciqhfcm1zuy">
        <w:r>
          <w:rPr>
            <w:rFonts w:ascii="Aptos" w:cs="Aptos" w:eastAsia="Aptos" w:hAnsi="Aptos"/>
            <w:color w:val="2E6BB8"/>
            <w:sz w:val="19"/>
            <w:szCs w:val="19"/>
            <w:u w:val="single"/>
          </w:rPr>
          <w:t xml:space="preserve">https://support.wellcertified.com/hc/en-us/articles/25696352926103-Understand-changes-from-v2-pilot-to-v2</w:t>
        </w:r>
      </w:hyperlink>
    </w:p>
    <w:p>
      <w:pPr>
        <w:pStyle w:val="ListParagraph"/>
        <w:numPr>
          <w:ilvl w:val="0"/>
          <w:numId w:val="2"/>
        </w:numPr>
        <w:spacing w:after="100" w:line="290"/>
      </w:pPr>
      <w:r>
        <w:rPr>
          <w:rFonts w:ascii="Aptos" w:cs="Aptos" w:eastAsia="Aptos" w:hAnsi="Aptos"/>
          <w:color w:val="1A1A1A"/>
          <w:sz w:val="19"/>
          <w:szCs w:val="19"/>
        </w:rPr>
        <w:t xml:space="preserve">U.S. Green Building Council. LEED v4 BD+C, Acoustic Performance credit.  </w:t>
      </w:r>
      <w:hyperlink w:history="1" r:id="rIdtyhasbuergezsjsp--vye">
        <w:r>
          <w:rPr>
            <w:rFonts w:ascii="Aptos" w:cs="Aptos" w:eastAsia="Aptos" w:hAnsi="Aptos"/>
            <w:color w:val="2E6BB8"/>
            <w:sz w:val="19"/>
            <w:szCs w:val="19"/>
            <w:u w:val="single"/>
          </w:rPr>
          <w:t xml:space="preserve">https://www.usgbc.org/credits/new-construction/v4/acoustic-performance</w:t>
        </w:r>
      </w:hyperlink>
    </w:p>
    <w:p>
      <w:pPr>
        <w:pStyle w:val="ListParagraph"/>
        <w:numPr>
          <w:ilvl w:val="0"/>
          <w:numId w:val="2"/>
        </w:numPr>
        <w:spacing w:after="100" w:line="290"/>
      </w:pPr>
      <w:r>
        <w:rPr>
          <w:rFonts w:ascii="Aptos" w:cs="Aptos" w:eastAsia="Aptos" w:hAnsi="Aptos"/>
          <w:color w:val="1A1A1A"/>
          <w:sz w:val="19"/>
          <w:szCs w:val="19"/>
        </w:rPr>
        <w:t xml:space="preserve">BRE. BREEAM International New Construction, HEA 05 Acoustic performance.  </w:t>
      </w:r>
      <w:hyperlink w:history="1" r:id="rIdqy76omg0s-itwmy5btf3k">
        <w:r>
          <w:rPr>
            <w:rFonts w:ascii="Aptos" w:cs="Aptos" w:eastAsia="Aptos" w:hAnsi="Aptos"/>
            <w:color w:val="2E6BB8"/>
            <w:sz w:val="19"/>
            <w:szCs w:val="19"/>
            <w:u w:val="single"/>
          </w:rPr>
          <w:t xml:space="preserve">https://www.breeam.com</w:t>
        </w:r>
      </w:hyperlink>
    </w:p>
    <w:p>
      <w:pPr>
        <w:pStyle w:val="ListParagraph"/>
        <w:numPr>
          <w:ilvl w:val="0"/>
          <w:numId w:val="2"/>
        </w:numPr>
        <w:spacing w:after="100" w:line="290"/>
      </w:pPr>
      <w:r>
        <w:rPr>
          <w:rFonts w:ascii="Aptos" w:cs="Aptos" w:eastAsia="Aptos" w:hAnsi="Aptos"/>
          <w:color w:val="1A1A1A"/>
          <w:sz w:val="19"/>
          <w:szCs w:val="19"/>
        </w:rPr>
        <w:t xml:space="preserve">ASTM International. ASTM C423-23 — Standard Test Method for Sound Absorption and Sound Absorption Coefficients by the Reverberation Room Method (current edition, supersedes C423-17).  </w:t>
      </w:r>
      <w:hyperlink w:history="1" r:id="rIdthucvsifr-iysg4ic_jzd">
        <w:r>
          <w:rPr>
            <w:rFonts w:ascii="Aptos" w:cs="Aptos" w:eastAsia="Aptos" w:hAnsi="Aptos"/>
            <w:color w:val="2E6BB8"/>
            <w:sz w:val="19"/>
            <w:szCs w:val="19"/>
            <w:u w:val="single"/>
          </w:rPr>
          <w:t xml:space="preserve">https://store.astm.org/c0423-23.html</w:t>
        </w:r>
      </w:hyperlink>
    </w:p>
    <w:p>
      <w:pPr>
        <w:pStyle w:val="ListParagraph"/>
        <w:numPr>
          <w:ilvl w:val="0"/>
          <w:numId w:val="2"/>
        </w:numPr>
        <w:spacing w:after="100" w:line="290"/>
      </w:pPr>
      <w:r>
        <w:rPr>
          <w:rFonts w:ascii="Aptos" w:cs="Aptos" w:eastAsia="Aptos" w:hAnsi="Aptos"/>
          <w:color w:val="1A1A1A"/>
          <w:sz w:val="19"/>
          <w:szCs w:val="19"/>
        </w:rPr>
        <w:t xml:space="preserve">ASTM International. ASTM E413-22 — Classification for Rating Sound Insulation (current edition, revises E413-16).  </w:t>
      </w:r>
      <w:hyperlink w:history="1" r:id="rIdpksm1nj_tyvycx7to9sjw">
        <w:r>
          <w:rPr>
            <w:rFonts w:ascii="Aptos" w:cs="Aptos" w:eastAsia="Aptos" w:hAnsi="Aptos"/>
            <w:color w:val="2E6BB8"/>
            <w:sz w:val="19"/>
            <w:szCs w:val="19"/>
            <w:u w:val="single"/>
          </w:rPr>
          <w:t xml:space="preserve">https://store.astm.org/e0413-22.html</w:t>
        </w:r>
      </w:hyperlink>
    </w:p>
    <w:p>
      <w:pPr>
        <w:pStyle w:val="ListParagraph"/>
        <w:numPr>
          <w:ilvl w:val="0"/>
          <w:numId w:val="2"/>
        </w:numPr>
        <w:spacing w:after="100" w:line="290"/>
      </w:pPr>
      <w:r>
        <w:rPr>
          <w:rFonts w:ascii="Aptos" w:cs="Aptos" w:eastAsia="Aptos" w:hAnsi="Aptos"/>
          <w:color w:val="1A1A1A"/>
          <w:sz w:val="19"/>
          <w:szCs w:val="19"/>
        </w:rPr>
        <w:t xml:space="preserve">IEC. IEC 60268-16:2020 — Sound system equipment, Part 16: Objective rating of speech intelligibility by speech transmission index.  </w:t>
      </w:r>
      <w:hyperlink w:history="1" r:id="rIdn616j9j-k5i_lapcmdnrr">
        <w:r>
          <w:rPr>
            <w:rFonts w:ascii="Aptos" w:cs="Aptos" w:eastAsia="Aptos" w:hAnsi="Aptos"/>
            <w:color w:val="2E6BB8"/>
            <w:sz w:val="19"/>
            <w:szCs w:val="19"/>
            <w:u w:val="single"/>
          </w:rPr>
          <w:t xml:space="preserve">https://webstore.iec.ch/publication/63418</w:t>
        </w:r>
      </w:hyperlink>
    </w:p>
    <w:p>
      <w:pPr>
        <w:pStyle w:val="ListParagraph"/>
        <w:numPr>
          <w:ilvl w:val="0"/>
          <w:numId w:val="2"/>
        </w:numPr>
        <w:spacing w:after="100" w:line="290"/>
      </w:pPr>
      <w:r>
        <w:rPr>
          <w:rFonts w:ascii="Aptos" w:cs="Aptos" w:eastAsia="Aptos" w:hAnsi="Aptos"/>
          <w:color w:val="1A1A1A"/>
          <w:sz w:val="19"/>
          <w:szCs w:val="19"/>
        </w:rPr>
        <w:t xml:space="preserve">ISO. ISO 354:2003 — Measurement of sound absorption in a reverberation room.  </w:t>
      </w:r>
      <w:hyperlink w:history="1" r:id="rIdae-p_st3q6o5ymcvjv5sm">
        <w:r>
          <w:rPr>
            <w:rFonts w:ascii="Aptos" w:cs="Aptos" w:eastAsia="Aptos" w:hAnsi="Aptos"/>
            <w:color w:val="2E6BB8"/>
            <w:sz w:val="19"/>
            <w:szCs w:val="19"/>
            <w:u w:val="single"/>
          </w:rPr>
          <w:t xml:space="preserve">https://www.iso.org/standard/34545.html</w:t>
        </w:r>
      </w:hyperlink>
    </w:p>
    <w:p>
      <w:pPr>
        <w:pStyle w:val="ListParagraph"/>
        <w:numPr>
          <w:ilvl w:val="0"/>
          <w:numId w:val="2"/>
        </w:numPr>
        <w:spacing w:after="100" w:line="290"/>
      </w:pPr>
      <w:r>
        <w:rPr>
          <w:rFonts w:ascii="Aptos" w:cs="Aptos" w:eastAsia="Aptos" w:hAnsi="Aptos"/>
          <w:color w:val="1A1A1A"/>
          <w:sz w:val="19"/>
          <w:szCs w:val="19"/>
        </w:rPr>
        <w:t xml:space="preserve">ISO. ISO 717-1:2020 — Rating of sound insulation in buildings and of building elements, Part 1 (4-е издание, действующая).  </w:t>
      </w:r>
      <w:hyperlink w:history="1" r:id="rIdbdilbdirn-cb09w-jumjm">
        <w:r>
          <w:rPr>
            <w:rFonts w:ascii="Aptos" w:cs="Aptos" w:eastAsia="Aptos" w:hAnsi="Aptos"/>
            <w:color w:val="2E6BB8"/>
            <w:sz w:val="19"/>
            <w:szCs w:val="19"/>
            <w:u w:val="single"/>
          </w:rPr>
          <w:t xml:space="preserve">https://www.iso.org/standard/77435.html</w:t>
        </w:r>
      </w:hyperlink>
    </w:p>
    <w:p>
      <w:pPr>
        <w:pStyle w:val="ListParagraph"/>
        <w:numPr>
          <w:ilvl w:val="0"/>
          <w:numId w:val="2"/>
        </w:numPr>
        <w:spacing w:after="100" w:line="290"/>
      </w:pPr>
      <w:r>
        <w:rPr>
          <w:rFonts w:ascii="Aptos" w:cs="Aptos" w:eastAsia="Aptos" w:hAnsi="Aptos"/>
          <w:color w:val="1A1A1A"/>
          <w:sz w:val="19"/>
          <w:szCs w:val="19"/>
        </w:rPr>
        <w:t xml:space="preserve">ISO. ISO 22955:2021 — Acoustic quality of open office spaces (6 сценариев для open-plan офисов).  </w:t>
      </w:r>
      <w:hyperlink w:history="1" r:id="rIdjlx18ejv72w_ysrxsrbvq">
        <w:r>
          <w:rPr>
            <w:rFonts w:ascii="Aptos" w:cs="Aptos" w:eastAsia="Aptos" w:hAnsi="Aptos"/>
            <w:color w:val="2E6BB8"/>
            <w:sz w:val="19"/>
            <w:szCs w:val="19"/>
            <w:u w:val="single"/>
          </w:rPr>
          <w:t xml:space="preserve">https://www.iso.org/standard/74237.html</w:t>
        </w:r>
      </w:hyperlink>
    </w:p>
    <w:p>
      <w:pPr>
        <w:pStyle w:val="ListParagraph"/>
        <w:numPr>
          <w:ilvl w:val="0"/>
          <w:numId w:val="2"/>
        </w:numPr>
        <w:spacing w:after="100" w:line="290"/>
      </w:pPr>
      <w:r>
        <w:rPr>
          <w:rFonts w:ascii="Aptos" w:cs="Aptos" w:eastAsia="Aptos" w:hAnsi="Aptos"/>
          <w:color w:val="1A1A1A"/>
          <w:sz w:val="19"/>
          <w:szCs w:val="19"/>
        </w:rPr>
        <w:t xml:space="preserve">ISO. ISO 20189:2018 — Screens, furniture and single objects intended for interior use.  </w:t>
      </w:r>
      <w:hyperlink w:history="1" r:id="rIdxr92yb9mqwbmr_sxzs9wi">
        <w:r>
          <w:rPr>
            <w:rFonts w:ascii="Aptos" w:cs="Aptos" w:eastAsia="Aptos" w:hAnsi="Aptos"/>
            <w:color w:val="2E6BB8"/>
            <w:sz w:val="19"/>
            <w:szCs w:val="19"/>
            <w:u w:val="single"/>
          </w:rPr>
          <w:t xml:space="preserve">https://www.iso.org/standard/67230.html</w:t>
        </w:r>
      </w:hyperlink>
    </w:p>
    <w:p>
      <w:pPr>
        <w:pStyle w:val="ListParagraph"/>
        <w:numPr>
          <w:ilvl w:val="0"/>
          <w:numId w:val="2"/>
        </w:numPr>
        <w:spacing w:after="100" w:line="290"/>
      </w:pPr>
      <w:r>
        <w:rPr>
          <w:rFonts w:ascii="Aptos" w:cs="Aptos" w:eastAsia="Aptos" w:hAnsi="Aptos"/>
          <w:color w:val="1A1A1A"/>
          <w:sz w:val="19"/>
          <w:szCs w:val="19"/>
        </w:rPr>
        <w:t xml:space="preserve">ISO. ISO 23351-1:2020 — Measurement of speech level reduction of furniture ensembles and enclosures.  </w:t>
      </w:r>
      <w:hyperlink w:history="1" r:id="rIdecspgl6xp3uop1yasox-1">
        <w:r>
          <w:rPr>
            <w:rFonts w:ascii="Aptos" w:cs="Aptos" w:eastAsia="Aptos" w:hAnsi="Aptos"/>
            <w:color w:val="2E6BB8"/>
            <w:sz w:val="19"/>
            <w:szCs w:val="19"/>
            <w:u w:val="single"/>
          </w:rPr>
          <w:t xml:space="preserve">https://www.iso.org/standard/75299.html</w:t>
        </w:r>
      </w:hyperlink>
    </w:p>
    <w:p>
      <w:pPr>
        <w:pStyle w:val="ListParagraph"/>
        <w:numPr>
          <w:ilvl w:val="0"/>
          <w:numId w:val="2"/>
        </w:numPr>
        <w:spacing w:after="100" w:line="290"/>
      </w:pPr>
      <w:r>
        <w:rPr>
          <w:rFonts w:ascii="Aptos" w:cs="Aptos" w:eastAsia="Aptos" w:hAnsi="Aptos"/>
          <w:color w:val="1A1A1A"/>
          <w:sz w:val="19"/>
          <w:szCs w:val="19"/>
        </w:rPr>
        <w:t xml:space="preserve">Правительство Российской Федерации. Постановление от 06.05.2024 № 589 «О внесении изменений в некоторые акты Правительства Российской Федерации» (отмена универсального обязательного перечня стандартов и СП с 01.09.2024).  </w:t>
      </w:r>
      <w:hyperlink w:history="1" r:id="rId01eqslln3kdsc58fq_7nt">
        <w:r>
          <w:rPr>
            <w:rFonts w:ascii="Aptos" w:cs="Aptos" w:eastAsia="Aptos" w:hAnsi="Aptos"/>
            <w:color w:val="2E6BB8"/>
            <w:sz w:val="19"/>
            <w:szCs w:val="19"/>
            <w:u w:val="single"/>
          </w:rPr>
          <w:t xml:space="preserve">https://www.consultant.ru/law/hotdocs/84667.html</w:t>
        </w:r>
      </w:hyperlink>
    </w:p>
    <w:p>
      <w:pPr>
        <w:pStyle w:val="ListParagraph"/>
        <w:numPr>
          <w:ilvl w:val="0"/>
          <w:numId w:val="2"/>
        </w:numPr>
        <w:spacing w:after="100" w:line="290"/>
      </w:pPr>
      <w:r>
        <w:rPr>
          <w:rFonts w:ascii="Aptos" w:cs="Aptos" w:eastAsia="Aptos" w:hAnsi="Aptos"/>
          <w:color w:val="1A1A1A"/>
          <w:sz w:val="19"/>
          <w:szCs w:val="19"/>
        </w:rPr>
        <w:t xml:space="preserve">Intertek. Разъяснение области применения ISO 354 и ASTM C423 (для чего измеряется NRC/SAA).  </w:t>
      </w:r>
      <w:hyperlink w:history="1" r:id="rIdmm7qy2xwjiq35brewjvzi">
        <w:r>
          <w:rPr>
            <w:rFonts w:ascii="Aptos" w:cs="Aptos" w:eastAsia="Aptos" w:hAnsi="Aptos"/>
            <w:color w:val="2E6BB8"/>
            <w:sz w:val="19"/>
            <w:szCs w:val="19"/>
            <w:u w:val="single"/>
          </w:rPr>
          <w:t xml:space="preserve">https://www.ngctestingservices.com/acoustical-testing</w:t>
        </w:r>
      </w:hyperlink>
    </w:p>
    <w:p>
      <w:pPr>
        <w:pStyle w:val="ListParagraph"/>
        <w:numPr>
          <w:ilvl w:val="0"/>
          <w:numId w:val="2"/>
        </w:numPr>
        <w:spacing w:after="100" w:line="290"/>
      </w:pPr>
      <w:r>
        <w:rPr>
          <w:rFonts w:ascii="Aptos" w:cs="Aptos" w:eastAsia="Aptos" w:hAnsi="Aptos"/>
          <w:color w:val="1A1A1A"/>
          <w:sz w:val="19"/>
          <w:szCs w:val="19"/>
        </w:rPr>
        <w:t xml:space="preserve">Минстрой России. СП 51.13330.2011 «Защита от шума», с изменением № 4 (приказ от 12.12.2023 № 909/пр, действует с 13.01.2024).  </w:t>
      </w:r>
      <w:hyperlink w:history="1" r:id="rIdpe7mr5s5k7yco09gk780w">
        <w:r>
          <w:rPr>
            <w:rFonts w:ascii="Aptos" w:cs="Aptos" w:eastAsia="Aptos" w:hAnsi="Aptos"/>
            <w:color w:val="2E6BB8"/>
            <w:sz w:val="19"/>
            <w:szCs w:val="19"/>
            <w:u w:val="single"/>
          </w:rPr>
          <w:t xml:space="preserve">https://meganorm.ru/mega_doc/norm/pravila/0/sp_51_13330_2011_svod_pravil_zashchita_ot_shuma.html</w:t>
        </w:r>
      </w:hyperlink>
    </w:p>
    <w:p>
      <w:pPr>
        <w:pStyle w:val="Heading3"/>
        <w:spacing w:after="90" w:before="180"/>
      </w:pPr>
      <w:r>
        <w:rPr>
          <w:rFonts w:ascii="Aptos" w:cs="Aptos" w:eastAsia="Aptos" w:hAnsi="Aptos"/>
          <w:b/>
          <w:bCs/>
          <w:color w:val="B4823C"/>
          <w:sz w:val="22"/>
          <w:szCs w:val="22"/>
        </w:rPr>
        <w:t xml:space="preserve">3. Академические исследования</w:t>
      </w:r>
    </w:p>
    <w:p>
      <w:pPr>
        <w:pStyle w:val="ListParagraph"/>
        <w:numPr>
          <w:ilvl w:val="0"/>
          <w:numId w:val="2"/>
        </w:numPr>
        <w:spacing w:after="100" w:line="290"/>
      </w:pPr>
      <w:r>
        <w:rPr>
          <w:rFonts w:ascii="Aptos" w:cs="Aptos" w:eastAsia="Aptos" w:hAnsi="Aptos"/>
          <w:color w:val="1A1A1A"/>
          <w:sz w:val="19"/>
          <w:szCs w:val="19"/>
        </w:rPr>
        <w:t xml:space="preserve">Haapakangas A. et al. Effects of the acoustic environment on work in private office rooms and open-plan offices. Applied Ergonomics, 2009.  </w:t>
      </w:r>
      <w:hyperlink w:history="1" r:id="rIdpnvipqhfdeh0gfg5jnr0c">
        <w:r>
          <w:rPr>
            <w:rFonts w:ascii="Aptos" w:cs="Aptos" w:eastAsia="Aptos" w:hAnsi="Aptos"/>
            <w:color w:val="2E6BB8"/>
            <w:sz w:val="19"/>
            <w:szCs w:val="19"/>
            <w:u w:val="single"/>
          </w:rPr>
          <w:t xml:space="preserve">https://pubmed.ncbi.nlm.nih.gov/19851909/</w:t>
        </w:r>
      </w:hyperlink>
    </w:p>
    <w:p>
      <w:pPr>
        <w:pStyle w:val="ListParagraph"/>
        <w:numPr>
          <w:ilvl w:val="0"/>
          <w:numId w:val="2"/>
        </w:numPr>
        <w:spacing w:after="100" w:line="290"/>
      </w:pPr>
      <w:r>
        <w:rPr>
          <w:rFonts w:ascii="Aptos" w:cs="Aptos" w:eastAsia="Aptos" w:hAnsi="Aptos"/>
          <w:color w:val="1A1A1A"/>
          <w:sz w:val="19"/>
          <w:szCs w:val="19"/>
        </w:rPr>
        <w:t xml:space="preserve">Reinten J. et al. The indoor sound environment and human task performance: a literature review on the role of room acoustics. Building and Environment, 123, 2017, 315–332. Литературный обзор (272 → 12 отобранных публикаций).  </w:t>
      </w:r>
      <w:hyperlink w:history="1" r:id="rIdpolqhlvuuq6tubrdjzsnl">
        <w:r>
          <w:rPr>
            <w:rFonts w:ascii="Aptos" w:cs="Aptos" w:eastAsia="Aptos" w:hAnsi="Aptos"/>
            <w:color w:val="2E6BB8"/>
            <w:sz w:val="19"/>
            <w:szCs w:val="19"/>
            <w:u w:val="single"/>
          </w:rPr>
          <w:t xml:space="preserve">https://www.sciencedirect.com/science/article/pii/S0360132317302913</w:t>
        </w:r>
      </w:hyperlink>
    </w:p>
    <w:p>
      <w:pPr>
        <w:pStyle w:val="ListParagraph"/>
        <w:numPr>
          <w:ilvl w:val="0"/>
          <w:numId w:val="2"/>
        </w:numPr>
        <w:spacing w:after="100" w:line="290"/>
      </w:pPr>
      <w:r>
        <w:rPr>
          <w:rFonts w:ascii="Aptos" w:cs="Aptos" w:eastAsia="Aptos" w:hAnsi="Aptos"/>
          <w:color w:val="1A1A1A"/>
          <w:sz w:val="19"/>
          <w:szCs w:val="19"/>
        </w:rPr>
        <w:t xml:space="preserve">Interlaboratory comparison of ISO 23351-1: speech level reduction of furniture ensembles (8 лабораторий, 6 стран).  </w:t>
      </w:r>
      <w:hyperlink w:history="1" r:id="rIdmsmy6sgudillqwtuot0qr">
        <w:r>
          <w:rPr>
            <w:rFonts w:ascii="Aptos" w:cs="Aptos" w:eastAsia="Aptos" w:hAnsi="Aptos"/>
            <w:color w:val="2E6BB8"/>
            <w:sz w:val="19"/>
            <w:szCs w:val="19"/>
            <w:u w:val="single"/>
          </w:rPr>
          <w:t xml:space="preserve">https://www.researchgate.net/publication/370898713_Interlaboratory_comparison_of_ISO_23351-1_speech_level_reduction_of_furniture_ensembles</w:t>
        </w:r>
      </w:hyperlink>
    </w:p>
    <w:p>
      <w:pPr>
        <w:pStyle w:val="Heading3"/>
        <w:spacing w:after="90" w:before="180"/>
      </w:pPr>
      <w:r>
        <w:rPr>
          <w:rFonts w:ascii="Aptos" w:cs="Aptos" w:eastAsia="Aptos" w:hAnsi="Aptos"/>
          <w:b/>
          <w:bCs/>
          <w:color w:val="B4823C"/>
          <w:sz w:val="22"/>
          <w:szCs w:val="22"/>
        </w:rPr>
        <w:t xml:space="preserve">4. Отраслевые источники (описательные и вторичные, уровень C)</w:t>
      </w:r>
    </w:p>
    <w:p>
      <w:pPr>
        <w:pStyle w:val="ListParagraph"/>
        <w:numPr>
          <w:ilvl w:val="0"/>
          <w:numId w:val="2"/>
        </w:numPr>
        <w:spacing w:after="100" w:line="290"/>
      </w:pPr>
      <w:r>
        <w:rPr>
          <w:rFonts w:ascii="Aptos" w:cs="Aptos" w:eastAsia="Aptos" w:hAnsi="Aptos"/>
          <w:color w:val="1A1A1A"/>
          <w:sz w:val="19"/>
          <w:szCs w:val="19"/>
        </w:rPr>
        <w:t xml:space="preserve">The Acoustics Company. Why Workplace Acoustics Matter (2023). Источник уровня C — поисковый сигнал, не самостоятельное доказательство.  </w:t>
      </w:r>
      <w:hyperlink w:history="1" r:id="rIdlpq0t1gwfasmj-zthsivr">
        <w:r>
          <w:rPr>
            <w:rFonts w:ascii="Aptos" w:cs="Aptos" w:eastAsia="Aptos" w:hAnsi="Aptos"/>
            <w:color w:val="2E6BB8"/>
            <w:sz w:val="19"/>
            <w:szCs w:val="19"/>
            <w:u w:val="single"/>
          </w:rPr>
          <w:t xml:space="preserve">https://acousticscompany.com/why-workplace-acoustics-matter-health-productivity-sound-quality/</w:t>
        </w:r>
      </w:hyperlink>
    </w:p>
    <w:p>
      <w:pPr>
        <w:pStyle w:val="ListParagraph"/>
        <w:numPr>
          <w:ilvl w:val="0"/>
          <w:numId w:val="2"/>
        </w:numPr>
        <w:spacing w:after="100" w:line="290"/>
      </w:pPr>
      <w:r>
        <w:rPr>
          <w:rFonts w:ascii="Aptos" w:cs="Aptos" w:eastAsia="Aptos" w:hAnsi="Aptos"/>
          <w:color w:val="1A1A1A"/>
          <w:sz w:val="19"/>
          <w:szCs w:val="19"/>
        </w:rPr>
        <w:t xml:space="preserve">GB Acoustics. How Interior Acoustics Impact Mental Health &amp; Wellbeing (2025). Источник уровня C.  </w:t>
      </w:r>
      <w:hyperlink w:history="1" r:id="rIdn1iwfnazfyx03txzgrgim">
        <w:r>
          <w:rPr>
            <w:rFonts w:ascii="Aptos" w:cs="Aptos" w:eastAsia="Aptos" w:hAnsi="Aptos"/>
            <w:color w:val="2E6BB8"/>
            <w:sz w:val="19"/>
            <w:szCs w:val="19"/>
            <w:u w:val="single"/>
          </w:rPr>
          <w:t xml:space="preserve">https://www.gbacoustics.co.uk/studies/how-interior-acoustics-impact-mental-health-wellbeing</w:t>
        </w:r>
      </w:hyperlink>
    </w:p>
    <w:p>
      <w:pPr>
        <w:spacing w:after="140" w:line="300"/>
        <w:jc w:val="left"/>
      </w:pPr>
      <w:r>
        <w:rPr>
          <w:rFonts w:ascii="Aptos" w:cs="Aptos" w:eastAsia="Aptos" w:hAnsi="Aptos"/>
          <w:color w:val="1A1A1A"/>
          <w:sz w:val="21"/>
          <w:szCs w:val="21"/>
        </w:rPr>
        <w:t xml:space="preserve">Множественные отчёты о рынке PET-войлочных акустических панелей (DataInsightsMarket, Giiresearch, 360iResearch, BusinessResearchInsights, MarketReportsWorld, DataHorizzon/OpenPR) — использованы только как иллюстрация разброса оценок, не как основа количественного вывода; прямые ссылки не приводятся из-за низкой надёжности и внутренней противоречивости этих отчётов.</w:t>
      </w:r>
    </w:p>
    <w:p>
      <w:pPr>
        <w:spacing w:after="200"/>
      </w:pPr>
    </w:p>
    <w:p>
      <w:pPr>
        <w:spacing w:after="140" w:line="300"/>
        <w:jc w:val="left"/>
      </w:pPr>
      <w:r>
        <w:rPr>
          <w:rFonts w:ascii="Aptos" w:cs="Aptos" w:eastAsia="Aptos" w:hAnsi="Aptos"/>
          <w:color w:val="1A1A1A"/>
          <w:sz w:val="21"/>
          <w:szCs w:val="21"/>
        </w:rPr>
        <w:t xml:space="preserve">Дата верификации всех ссылок: 15 июля 2026 года. Итоговое количество прямых источников: 21 (приложение 2) плюс дополнительные отраслевые ссылки в тексте разделов.</w:t>
      </w:r>
    </w:p>
    <w:sectPr>
      <w:headerReference w:type="default" r:id="rId7"/>
      <w:footerReference w:type="default" r:id="rId8"/>
      <w:pgSz w:w="11906" w:h="16838" w:orient="portrait"/>
      <w:pgMar w:top="1134" w:right="1273" w:bottom="1134" w:left="127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5B534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Aptos" w:cs="Aptos" w:eastAsia="Aptos" w:hAnsi="Aptos"/>
          <w:color w:val="5B5347"/>
          <w:sz w:val="18"/>
          <w:szCs w:val="18"/>
        </w:rPr>
        <w:t xml:space="preserve">WELL v2, концепция Sound: шесть фич (S01–S06), из которых S01 (Sound Mapping) — обязательная прекондиция для любого уровня сертификации, остальные пять — факультативные оптимизации (Maximum Noise Levels, Sound Barriers, Reverberation Time, Sound Reducing Surfaces, Minimum Background Sound). Источник: International WELL Building Institute, support.wellcertified.com, «Understand the architecture of WELL v2» и «Understand changes from v2 pilot to v2», проверено 15.07.2026.</w:t>
      </w:r>
    </w:p>
  </w:footnote>
  <w:footnote w:id="2">
    <w:p>
      <w:r>
        <w:rPr>
          <w:rStyle w:val="FootnoteReference"/>
        </w:rPr>
        <w:footnoteRef/>
      </w:r>
      <w:r>
        <w:rPr>
          <w:rFonts w:ascii="Aptos" w:cs="Aptos" w:eastAsia="Aptos" w:hAnsi="Aptos"/>
          <w:color w:val="5B5347"/>
          <w:sz w:val="18"/>
          <w:szCs w:val="18"/>
        </w:rPr>
        <w:t xml:space="preserve">Haapakangas A. et al. «Effects of the acoustic environment on work in private office rooms and open-plan offices», Applied Ergonomics, 2009. https://pubmed.ncbi.nlm.nih.gov/19851909/ — лонгитюдное исследование, 31 сотрудник, переезд из кабинетов в open-plan.</w:t>
      </w:r>
    </w:p>
  </w:footnote>
  <w:footnote w:id="3">
    <w:p>
      <w:r>
        <w:rPr>
          <w:rStyle w:val="FootnoteReference"/>
        </w:rPr>
        <w:footnoteRef/>
      </w:r>
      <w:r>
        <w:rPr>
          <w:rFonts w:ascii="Aptos" w:cs="Aptos" w:eastAsia="Aptos" w:hAnsi="Aptos"/>
          <w:color w:val="5B5347"/>
          <w:sz w:val="18"/>
          <w:szCs w:val="18"/>
        </w:rPr>
        <w:t xml:space="preserve">Reinten J. et al. «The indoor sound environment and human task performance», Building and Environment, 2017. Литературный обзор: из 272 отобранных публикаций критериям обзора соответствовали 12; сами авторы отмечают недостаток доказательной базы по эффективности конкретных стратегий акустического дизайна. https://www.sciencedirect.com/science/article/pii/S0360132317302913</w:t>
      </w:r>
    </w:p>
  </w:footnote>
  <w:footnote w:id="4">
    <w:p>
      <w:r>
        <w:rPr>
          <w:rStyle w:val="FootnoteReference"/>
        </w:rPr>
        <w:footnoteRef/>
      </w:r>
      <w:r>
        <w:rPr>
          <w:rFonts w:ascii="Aptos" w:cs="Aptos" w:eastAsia="Aptos" w:hAnsi="Aptos"/>
          <w:color w:val="5B5347"/>
          <w:sz w:val="18"/>
          <w:szCs w:val="18"/>
        </w:rPr>
        <w:t xml:space="preserve">LEED v4/v4.1 BD+C содержит отдельный кредит Acoustic Performance с требованиями к STC, времени реверберации и уровню фонового шума. Источник: U.S. Green Building Council, https://www.usgbc.org/credits/new-construction/v4/acoustic-performance.</w:t>
      </w:r>
    </w:p>
  </w:footnote>
  <w:footnote w:id="5">
    <w:p>
      <w:r>
        <w:rPr>
          <w:rStyle w:val="FootnoteReference"/>
        </w:rPr>
        <w:footnoteRef/>
      </w:r>
      <w:r>
        <w:rPr>
          <w:rFonts w:ascii="Aptos" w:cs="Aptos" w:eastAsia="Aptos" w:hAnsi="Aptos"/>
          <w:color w:val="5B5347"/>
          <w:sz w:val="18"/>
          <w:szCs w:val="18"/>
        </w:rPr>
        <w:t xml:space="preserve">Haapakangas A. et al., Applied Ergonomics, 2009 — см. сноску выше. 31 сотрудник, замер до и после переезда из кабинетов в open-plan.</w:t>
      </w:r>
    </w:p>
  </w:footnote>
  <w:footnote w:id="6">
    <w:p>
      <w:r>
        <w:rPr>
          <w:rStyle w:val="FootnoteReference"/>
        </w:rPr>
        <w:footnoteRef/>
      </w:r>
      <w:r>
        <w:rPr>
          <w:rFonts w:ascii="Aptos" w:cs="Aptos" w:eastAsia="Aptos" w:hAnsi="Aptos"/>
          <w:color w:val="5B5347"/>
          <w:sz w:val="18"/>
          <w:szCs w:val="18"/>
        </w:rPr>
        <w:t xml:space="preserve">Reinten J. et al., Building and Environment, 2017 — литературный обзор, не первичный эксперимент. Из 272 отобранных публикаций критериям обзора соответствовали 12. Цитата вывода авторов (в переводе): «доказательства эффективности стратегий контроля звуковой среды через акустический дизайн помещения отсутствуют и должны стать фокусом будущих исследований». https://www.sciencedirect.com/science/article/pii/S0360132317302913</w:t>
      </w:r>
    </w:p>
  </w:footnote>
  <w:footnote w:id="7">
    <w:p>
      <w:r>
        <w:rPr>
          <w:rStyle w:val="FootnoteReference"/>
        </w:rPr>
        <w:footnoteRef/>
      </w:r>
      <w:r>
        <w:rPr>
          <w:rFonts w:ascii="Aptos" w:cs="Aptos" w:eastAsia="Aptos" w:hAnsi="Aptos"/>
          <w:color w:val="5B5347"/>
          <w:sz w:val="18"/>
          <w:szCs w:val="18"/>
        </w:rPr>
        <w:t xml:space="preserve">The Acoustics Company, «Why Workplace Acoustics Matter», 2023; GB Acoustics, «How Interior Acoustics Impact Mental Health &amp; Wellbeing», 2025 — источники уровня C (коммерческие сайты отрасли), используются как поисковый сигнал, а не как самостоятельное доказательство.</w:t>
      </w:r>
    </w:p>
  </w:footnote>
  <w:footnote w:id="8">
    <w:p>
      <w:r>
        <w:rPr>
          <w:rStyle w:val="FootnoteReference"/>
        </w:rPr>
        <w:footnoteRef/>
      </w:r>
      <w:r>
        <w:rPr>
          <w:rFonts w:ascii="Aptos" w:cs="Aptos" w:eastAsia="Aptos" w:hAnsi="Aptos"/>
          <w:color w:val="5B5347"/>
          <w:sz w:val="18"/>
          <w:szCs w:val="18"/>
        </w:rPr>
        <w:t xml:space="preserve">Global Market Insights, «Acoustic Panel Market Size &amp; Share, Statistics Report 2026-2035», проверено 15.07.2026. https://www.gminsights.com/industry-analysis/acoustic-panel-market</w:t>
      </w:r>
    </w:p>
  </w:footnote>
  <w:footnote w:id="9">
    <w:p>
      <w:r>
        <w:rPr>
          <w:rStyle w:val="FootnoteReference"/>
        </w:rPr>
        <w:footnoteRef/>
      </w:r>
      <w:r>
        <w:rPr>
          <w:rFonts w:ascii="Aptos" w:cs="Aptos" w:eastAsia="Aptos" w:hAnsi="Aptos"/>
          <w:color w:val="5B5347"/>
          <w:sz w:val="18"/>
          <w:szCs w:val="18"/>
        </w:rPr>
        <w:t xml:space="preserve">Fortune Business Insights, «Architectural Acoustic Panels Market», Report ID FBI104454, последнее обновление издателем — 29.06.2026, дата доступа Valmark — 15.07.2026. https://www.fortunebusinessinsights.com/architectural-acoustic-panels-market-104454</w:t>
      </w:r>
    </w:p>
  </w:footnote>
  <w:footnote w:id="10">
    <w:p>
      <w:r>
        <w:rPr>
          <w:rStyle w:val="FootnoteReference"/>
        </w:rPr>
        <w:footnoteRef/>
      </w:r>
      <w:r>
        <w:rPr>
          <w:rFonts w:ascii="Aptos" w:cs="Aptos" w:eastAsia="Aptos" w:hAnsi="Aptos"/>
          <w:color w:val="5B5347"/>
          <w:sz w:val="18"/>
          <w:szCs w:val="18"/>
        </w:rPr>
        <w:t xml:space="preserve">Strategic Market Research, «Acoustic Panel Market Report», проверено 15.07.2026. https://www.strategicmarketresearch.com/market-report/acoustic-panel-market</w:t>
      </w:r>
    </w:p>
  </w:footnote>
  <w:footnote w:id="11">
    <w:p>
      <w:r>
        <w:rPr>
          <w:rStyle w:val="FootnoteReference"/>
        </w:rPr>
        <w:footnoteRef/>
      </w:r>
      <w:r>
        <w:rPr>
          <w:rFonts w:ascii="Aptos" w:cs="Aptos" w:eastAsia="Aptos" w:hAnsi="Aptos"/>
          <w:color w:val="5B5347"/>
          <w:sz w:val="18"/>
          <w:szCs w:val="18"/>
        </w:rPr>
        <w:t xml:space="preserve">Fortune Business Insights, «Office Pods Market», Report ID FBI110928, последнее обновление издателем — 11.05.2026, дата доступа Valmark — 15.07.2026. https://www.fortunebusinessinsights.com/office-pods-market-110928. У других агентств тот же сегмент оценён от 0,72 до 2,85 млрд долл. в зависимости от того, включена ли в определение более широкая категория «модульная офисная мебель» — прямого сопоставления между сериями нет.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ptos" w:cs="Aptos" w:eastAsia="Aptos" w:hAnsi="Aptos"/>
        <w:color w:val="5B5347"/>
        <w:sz w:val="14"/>
        <w:szCs w:val="14"/>
      </w:rPr>
      <w:t xml:space="preserve">Valmark Intelligence Center — Акустика помещений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b7palnqsqhby28cojywbn" Type="http://schemas.openxmlformats.org/officeDocument/2006/relationships/hyperlink" Target="https://www.gminsights.com/industry-analysis/acoustic-panel-market" TargetMode="External"/><Relationship Id="rIdjjv4dpusbfhmsljrtsnjy" Type="http://schemas.openxmlformats.org/officeDocument/2006/relationships/hyperlink" Target="https://www.fortunebusinessinsights.com/architectural-acoustic-panels-market-104454" TargetMode="External"/><Relationship Id="rIdaehlmtgkg8cgmmhprtysk" Type="http://schemas.openxmlformats.org/officeDocument/2006/relationships/hyperlink" Target="https://www.fortunebusinessinsights.com/office-pods-market-110928" TargetMode="External"/><Relationship Id="rIdvuh2jydbid9ldxlxccakl" Type="http://schemas.openxmlformats.org/officeDocument/2006/relationships/hyperlink" Target="https://www.strategicmarketresearch.com/market-report/acoustic-panel-market" TargetMode="External"/><Relationship Id="rId5ppth3ueckzdfklugvwgl" Type="http://schemas.openxmlformats.org/officeDocument/2006/relationships/hyperlink" Target="https://support.wellcertified.com/hc/en-us/articles/25652808225687-Understand-the-architecture-of-WELL-v2" TargetMode="External"/><Relationship Id="rIdtzqjtff8mmciqhfcm1zuy" Type="http://schemas.openxmlformats.org/officeDocument/2006/relationships/hyperlink" Target="https://support.wellcertified.com/hc/en-us/articles/25696352926103-Understand-changes-from-v2-pilot-to-v2" TargetMode="External"/><Relationship Id="rIdtyhasbuergezsjsp--vye" Type="http://schemas.openxmlformats.org/officeDocument/2006/relationships/hyperlink" Target="https://www.usgbc.org/credits/new-construction/v4/acoustic-performance" TargetMode="External"/><Relationship Id="rIdqy76omg0s-itwmy5btf3k" Type="http://schemas.openxmlformats.org/officeDocument/2006/relationships/hyperlink" Target="https://www.breeam.com" TargetMode="External"/><Relationship Id="rIdthucvsifr-iysg4ic_jzd" Type="http://schemas.openxmlformats.org/officeDocument/2006/relationships/hyperlink" Target="https://store.astm.org/c0423-23.html" TargetMode="External"/><Relationship Id="rIdpksm1nj_tyvycx7to9sjw" Type="http://schemas.openxmlformats.org/officeDocument/2006/relationships/hyperlink" Target="https://store.astm.org/e0413-22.html" TargetMode="External"/><Relationship Id="rIdn616j9j-k5i_lapcmdnrr" Type="http://schemas.openxmlformats.org/officeDocument/2006/relationships/hyperlink" Target="https://webstore.iec.ch/publication/63418" TargetMode="External"/><Relationship Id="rIdae-p_st3q6o5ymcvjv5sm" Type="http://schemas.openxmlformats.org/officeDocument/2006/relationships/hyperlink" Target="https://www.iso.org/standard/34545.html" TargetMode="External"/><Relationship Id="rIdbdilbdirn-cb09w-jumjm" Type="http://schemas.openxmlformats.org/officeDocument/2006/relationships/hyperlink" Target="https://www.iso.org/standard/77435.html" TargetMode="External"/><Relationship Id="rIdjlx18ejv72w_ysrxsrbvq" Type="http://schemas.openxmlformats.org/officeDocument/2006/relationships/hyperlink" Target="https://www.iso.org/standard/74237.html" TargetMode="External"/><Relationship Id="rIdxr92yb9mqwbmr_sxzs9wi" Type="http://schemas.openxmlformats.org/officeDocument/2006/relationships/hyperlink" Target="https://www.iso.org/standard/67230.html" TargetMode="External"/><Relationship Id="rIdecspgl6xp3uop1yasox-1" Type="http://schemas.openxmlformats.org/officeDocument/2006/relationships/hyperlink" Target="https://www.iso.org/standard/75299.html" TargetMode="External"/><Relationship Id="rId01eqslln3kdsc58fq_7nt" Type="http://schemas.openxmlformats.org/officeDocument/2006/relationships/hyperlink" Target="https://www.consultant.ru/law/hotdocs/84667.html" TargetMode="External"/><Relationship Id="rIdmm7qy2xwjiq35brewjvzi" Type="http://schemas.openxmlformats.org/officeDocument/2006/relationships/hyperlink" Target="https://www.ngctestingservices.com/acoustical-testing" TargetMode="External"/><Relationship Id="rIdpe7mr5s5k7yco09gk780w" Type="http://schemas.openxmlformats.org/officeDocument/2006/relationships/hyperlink" Target="https://meganorm.ru/mega_doc/norm/pravila/0/sp_51_13330_2011_svod_pravil_zashchita_ot_shuma.html" TargetMode="External"/><Relationship Id="rIdpnvipqhfdeh0gfg5jnr0c" Type="http://schemas.openxmlformats.org/officeDocument/2006/relationships/hyperlink" Target="https://pubmed.ncbi.nlm.nih.gov/19851909/" TargetMode="External"/><Relationship Id="rIdpolqhlvuuq6tubrdjzsnl" Type="http://schemas.openxmlformats.org/officeDocument/2006/relationships/hyperlink" Target="https://www.sciencedirect.com/science/article/pii/S0360132317302913" TargetMode="External"/><Relationship Id="rIdmsmy6sgudillqwtuot0qr" Type="http://schemas.openxmlformats.org/officeDocument/2006/relationships/hyperlink" Target="https://www.researchgate.net/publication/370898713_Interlaboratory_comparison_of_ISO_23351-1_speech_level_reduction_of_furniture_ensembles" TargetMode="External"/><Relationship Id="rIdlpq0t1gwfasmj-zthsivr" Type="http://schemas.openxmlformats.org/officeDocument/2006/relationships/hyperlink" Target="https://acousticscompany.com/why-workplace-acoustics-matter-health-productivity-sound-quality/" TargetMode="External"/><Relationship Id="rIdn1iwfnazfyx03txzgrgim" Type="http://schemas.openxmlformats.org/officeDocument/2006/relationships/hyperlink" Target="https://www.gbacoustics.co.uk/studies/how-interior-acoustics-impact-mental-health-wellbeing" TargetMode="External"/><Relationship Id="rId9" Type="http://schemas.openxmlformats.org/officeDocument/2006/relationships/image" Target="media/443968ba3445f0af31c0434965f59b971e0a24c1.png"/><Relationship Id="rId10" Type="http://schemas.openxmlformats.org/officeDocument/2006/relationships/image" Target="media/67f6b586a891126c7639416b3d39a9af4818c817.png"/><Relationship Id="rId11" Type="http://schemas.openxmlformats.org/officeDocument/2006/relationships/image" Target="media/448f4b9a3465ae546244d89df95796f1f3e05a3d.png"/><Relationship Id="rId12" Type="http://schemas.openxmlformats.org/officeDocument/2006/relationships/image" Target="media/e625d6fdd7f8e3a8df3b12bd58fc310f7f5c0f41.png"/><Relationship Id="rId3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Акустика помещений: шумопоглощающая мебель и панели</dc:title>
  <dc:creator>Valmark Intelligence Center</dc:creator>
  <cp:lastModifiedBy>Un-named</cp:lastModifiedBy>
  <cp:revision>1</cp:revision>
  <dcterms:created xsi:type="dcterms:W3CDTF">2026-07-15T14:45:42.081Z</dcterms:created>
  <dcterms:modified xsi:type="dcterms:W3CDTF">2026-07-15T14:45:42.082Z</dcterms:modified>
</cp:coreProperties>
</file>

<file path=docProps/custom.xml><?xml version="1.0" encoding="utf-8"?>
<Properties xmlns="http://schemas.openxmlformats.org/officeDocument/2006/custom-properties" xmlns:vt="http://schemas.openxmlformats.org/officeDocument/2006/docPropsVTypes"/>
</file>